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DB41" w14:textId="77777777" w:rsidR="005F7E58" w:rsidRDefault="005F7E58" w:rsidP="005F7E58">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Audit Committee</w:t>
      </w:r>
      <w:r w:rsidRPr="00990EB3">
        <w:rPr>
          <w:rFonts w:cs="Arial"/>
          <w:b/>
          <w:sz w:val="32"/>
        </w:rPr>
        <w:fldChar w:fldCharType="end"/>
      </w:r>
      <w:r w:rsidRPr="00990EB3">
        <w:rPr>
          <w:rFonts w:cs="Arial"/>
          <w:b/>
          <w:sz w:val="32"/>
        </w:rPr>
        <w:t xml:space="preserve"> meeting</w:t>
      </w:r>
    </w:p>
    <w:p w14:paraId="4DFA3C08" w14:textId="77777777" w:rsidR="005F7E58" w:rsidRPr="00990EB3" w:rsidRDefault="005F7E58" w:rsidP="005F7E58">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5F7E58" w:rsidRPr="002E7053" w14:paraId="4C78A9AC" w14:textId="77777777" w:rsidTr="005F7E58">
        <w:tc>
          <w:tcPr>
            <w:tcW w:w="2160" w:type="dxa"/>
            <w:tcBorders>
              <w:top w:val="single" w:sz="12" w:space="0" w:color="auto"/>
            </w:tcBorders>
            <w:shd w:val="clear" w:color="auto" w:fill="auto"/>
            <w:tcMar>
              <w:top w:w="115" w:type="dxa"/>
              <w:left w:w="115" w:type="dxa"/>
              <w:right w:w="115" w:type="dxa"/>
            </w:tcMar>
          </w:tcPr>
          <w:p w14:paraId="13DDDC92" w14:textId="77777777" w:rsidR="005F7E58" w:rsidRPr="0030484B" w:rsidRDefault="005F7E58" w:rsidP="005F7E58">
            <w:pPr>
              <w:rPr>
                <w:b/>
              </w:rPr>
            </w:pPr>
            <w:r w:rsidRPr="0030484B">
              <w:rPr>
                <w:b/>
              </w:rPr>
              <w:t>Title:</w:t>
            </w:r>
          </w:p>
          <w:p w14:paraId="41638277" w14:textId="77777777" w:rsidR="005F7E58" w:rsidRPr="0030484B" w:rsidRDefault="005F7E58" w:rsidP="005F7E58">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2190D644" w14:textId="77777777" w:rsidR="005F7E58" w:rsidRPr="002E7053" w:rsidRDefault="005F7E58" w:rsidP="005F7E58">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Audit Committee</w:t>
            </w:r>
            <w:r w:rsidRPr="0030484B">
              <w:rPr>
                <w:szCs w:val="40"/>
              </w:rPr>
              <w:fldChar w:fldCharType="end"/>
            </w:r>
          </w:p>
        </w:tc>
      </w:tr>
      <w:tr w:rsidR="005F7E58" w:rsidRPr="002E7053" w14:paraId="5BA55927" w14:textId="77777777" w:rsidTr="005F7E58">
        <w:tc>
          <w:tcPr>
            <w:tcW w:w="2160" w:type="dxa"/>
            <w:shd w:val="clear" w:color="auto" w:fill="auto"/>
          </w:tcPr>
          <w:p w14:paraId="4C120373" w14:textId="77777777" w:rsidR="005F7E58" w:rsidRPr="0030484B" w:rsidRDefault="005F7E58" w:rsidP="005F7E58">
            <w:pPr>
              <w:rPr>
                <w:b/>
              </w:rPr>
            </w:pPr>
            <w:r w:rsidRPr="0030484B">
              <w:rPr>
                <w:b/>
              </w:rPr>
              <w:t>Date:</w:t>
            </w:r>
          </w:p>
          <w:p w14:paraId="6A1B360E" w14:textId="77777777" w:rsidR="005F7E58" w:rsidRPr="0030484B" w:rsidRDefault="005F7E58" w:rsidP="005F7E58">
            <w:pPr>
              <w:rPr>
                <w:b/>
                <w:sz w:val="16"/>
                <w:szCs w:val="16"/>
              </w:rPr>
            </w:pPr>
          </w:p>
        </w:tc>
        <w:tc>
          <w:tcPr>
            <w:tcW w:w="7128" w:type="dxa"/>
            <w:shd w:val="clear" w:color="auto" w:fill="auto"/>
          </w:tcPr>
          <w:p w14:paraId="30F5AAC7" w14:textId="77777777" w:rsidR="005F7E58" w:rsidRPr="002E7053" w:rsidRDefault="005F7E58" w:rsidP="005F7E58">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Wednesday 14 June 2017</w:t>
            </w:r>
            <w:r w:rsidRPr="0030484B">
              <w:rPr>
                <w:szCs w:val="24"/>
              </w:rPr>
              <w:fldChar w:fldCharType="end"/>
            </w:r>
          </w:p>
        </w:tc>
      </w:tr>
      <w:tr w:rsidR="005F7E58" w:rsidRPr="002E7053" w14:paraId="21013991" w14:textId="77777777" w:rsidTr="005F7E58">
        <w:tc>
          <w:tcPr>
            <w:tcW w:w="2160" w:type="dxa"/>
            <w:shd w:val="clear" w:color="auto" w:fill="auto"/>
          </w:tcPr>
          <w:p w14:paraId="715A043B" w14:textId="77777777" w:rsidR="005F7E58" w:rsidRPr="0030484B" w:rsidRDefault="005F7E58" w:rsidP="005F7E58">
            <w:pPr>
              <w:rPr>
                <w:b/>
              </w:rPr>
            </w:pPr>
            <w:r w:rsidRPr="0030484B">
              <w:rPr>
                <w:b/>
              </w:rPr>
              <w:t>Venue:</w:t>
            </w:r>
          </w:p>
        </w:tc>
        <w:tc>
          <w:tcPr>
            <w:tcW w:w="7128" w:type="dxa"/>
            <w:shd w:val="clear" w:color="auto" w:fill="auto"/>
          </w:tcPr>
          <w:p w14:paraId="25614E2F" w14:textId="77777777" w:rsidR="005F7E58" w:rsidRPr="002E7053" w:rsidRDefault="005F7E58" w:rsidP="005F7E58">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Room D, Ground Floor, Layden House, 76-86 Turnmill Street, London, EC1M 5LG</w:t>
            </w:r>
            <w:r w:rsidRPr="0030484B">
              <w:rPr>
                <w:szCs w:val="24"/>
              </w:rPr>
              <w:fldChar w:fldCharType="end"/>
            </w:r>
          </w:p>
        </w:tc>
      </w:tr>
      <w:tr w:rsidR="005F7E58" w:rsidRPr="0030484B" w14:paraId="3CBA8E85" w14:textId="77777777" w:rsidTr="005F7E58">
        <w:tc>
          <w:tcPr>
            <w:tcW w:w="2160" w:type="dxa"/>
            <w:tcBorders>
              <w:bottom w:val="single" w:sz="12" w:space="0" w:color="auto"/>
            </w:tcBorders>
            <w:shd w:val="clear" w:color="auto" w:fill="auto"/>
          </w:tcPr>
          <w:p w14:paraId="470A3702" w14:textId="77777777" w:rsidR="005F7E58" w:rsidRPr="0030484B" w:rsidRDefault="005F7E58" w:rsidP="005F7E58">
            <w:pPr>
              <w:rPr>
                <w:b/>
                <w:sz w:val="12"/>
                <w:szCs w:val="12"/>
              </w:rPr>
            </w:pPr>
          </w:p>
        </w:tc>
        <w:tc>
          <w:tcPr>
            <w:tcW w:w="7128" w:type="dxa"/>
            <w:tcBorders>
              <w:bottom w:val="single" w:sz="12" w:space="0" w:color="auto"/>
            </w:tcBorders>
            <w:shd w:val="clear" w:color="auto" w:fill="auto"/>
          </w:tcPr>
          <w:p w14:paraId="6DED1E91" w14:textId="77777777" w:rsidR="005F7E58" w:rsidRPr="0030484B" w:rsidRDefault="005F7E58" w:rsidP="005F7E58">
            <w:pPr>
              <w:rPr>
                <w:sz w:val="12"/>
                <w:szCs w:val="12"/>
              </w:rPr>
            </w:pPr>
          </w:p>
        </w:tc>
      </w:tr>
    </w:tbl>
    <w:p w14:paraId="5BFA693E" w14:textId="77777777" w:rsidR="005F7E58" w:rsidRPr="002E7053" w:rsidRDefault="005F7E58" w:rsidP="005F7E58"/>
    <w:p w14:paraId="30A46310" w14:textId="77777777" w:rsidR="005F7E58" w:rsidRDefault="005F7E58" w:rsidP="005F7E58">
      <w:pPr>
        <w:ind w:left="-720"/>
        <w:rPr>
          <w:b/>
        </w:rPr>
      </w:pPr>
      <w:r w:rsidRPr="002E7053">
        <w:rPr>
          <w:b/>
        </w:rPr>
        <w:t>Attendance</w:t>
      </w:r>
    </w:p>
    <w:p w14:paraId="2D793A1A" w14:textId="77777777" w:rsidR="005F7E58" w:rsidRPr="001F2D91" w:rsidRDefault="005F7E58" w:rsidP="005F7E58">
      <w:pPr>
        <w:ind w:left="-720"/>
      </w:pPr>
      <w:r>
        <w:t xml:space="preserve">An attendance list is attached as </w:t>
      </w:r>
      <w:r w:rsidRPr="001F2D91">
        <w:rPr>
          <w:b/>
          <w:u w:val="single"/>
        </w:rPr>
        <w:t>Appendix A</w:t>
      </w:r>
      <w:r>
        <w:t xml:space="preserve"> to this note.</w:t>
      </w:r>
    </w:p>
    <w:p w14:paraId="1EB6B065" w14:textId="77777777" w:rsidR="005F7E58" w:rsidRDefault="005F7E58" w:rsidP="005F7E58"/>
    <w:tbl>
      <w:tblPr>
        <w:tblW w:w="9766" w:type="dxa"/>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9046"/>
      </w:tblGrid>
      <w:tr w:rsidR="005F7E58" w:rsidRPr="00CE3DD7" w14:paraId="068DD104" w14:textId="77777777" w:rsidTr="005F7E58">
        <w:tc>
          <w:tcPr>
            <w:tcW w:w="720" w:type="dxa"/>
            <w:shd w:val="clear" w:color="auto" w:fill="BFBFBF"/>
          </w:tcPr>
          <w:p w14:paraId="6199C7F7" w14:textId="77777777" w:rsidR="005F7E58" w:rsidRPr="00CE3DD7" w:rsidRDefault="005F7E58" w:rsidP="005F7E58">
            <w:pPr>
              <w:rPr>
                <w:b/>
              </w:rPr>
            </w:pPr>
            <w:r w:rsidRPr="00CE3DD7">
              <w:rPr>
                <w:b/>
              </w:rPr>
              <w:t>Item</w:t>
            </w:r>
          </w:p>
        </w:tc>
        <w:tc>
          <w:tcPr>
            <w:tcW w:w="9046" w:type="dxa"/>
            <w:shd w:val="clear" w:color="auto" w:fill="BFBFBF"/>
          </w:tcPr>
          <w:p w14:paraId="63992E30" w14:textId="77777777" w:rsidR="005F7E58" w:rsidRPr="00CE3DD7" w:rsidRDefault="005F7E58" w:rsidP="005F7E58">
            <w:pPr>
              <w:widowControl w:val="0"/>
              <w:rPr>
                <w:b/>
              </w:rPr>
            </w:pPr>
            <w:r w:rsidRPr="00CE3DD7">
              <w:rPr>
                <w:b/>
              </w:rPr>
              <w:t>Decisions and actions</w:t>
            </w:r>
          </w:p>
        </w:tc>
      </w:tr>
    </w:tbl>
    <w:p w14:paraId="0998374F" w14:textId="77777777" w:rsidR="005F7E58" w:rsidRDefault="005F7E58" w:rsidP="005F7E58"/>
    <w:p w14:paraId="2F8E95A9" w14:textId="77777777" w:rsidR="005F7E58" w:rsidRDefault="005F7E58">
      <w:pPr>
        <w:rPr>
          <w:vanish/>
        </w:rPr>
      </w:pPr>
      <w:r>
        <w:rPr>
          <w:vanish/>
        </w:rPr>
        <w:t>&lt;AI1&gt;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719D389D" w14:textId="77777777" w:rsidTr="00100114">
        <w:tc>
          <w:tcPr>
            <w:tcW w:w="720" w:type="dxa"/>
          </w:tcPr>
          <w:p w14:paraId="0C104492" w14:textId="77777777" w:rsidR="005F7E58" w:rsidRPr="006A5FCC" w:rsidRDefault="005F7E58" w:rsidP="005F7E58">
            <w:pPr>
              <w:numPr>
                <w:ilvl w:val="0"/>
                <w:numId w:val="3"/>
              </w:numPr>
              <w:ind w:left="560"/>
              <w:rPr>
                <w:szCs w:val="22"/>
              </w:rPr>
            </w:pPr>
            <w:r>
              <w:rPr>
                <w:szCs w:val="22"/>
                <w:bdr w:val="nil"/>
              </w:rPr>
              <w:t xml:space="preserve"> </w:t>
            </w:r>
          </w:p>
        </w:tc>
        <w:tc>
          <w:tcPr>
            <w:tcW w:w="7488" w:type="dxa"/>
          </w:tcPr>
          <w:p w14:paraId="67235626" w14:textId="77777777" w:rsidR="005F7E58" w:rsidRPr="003354D6" w:rsidRDefault="005F7E58" w:rsidP="005F7E58">
            <w:pPr>
              <w:widowControl w:val="0"/>
              <w:rPr>
                <w:rFonts w:ascii="Arial Bold" w:hAnsi="Arial Bold"/>
                <w:b/>
                <w:szCs w:val="22"/>
              </w:rPr>
            </w:pPr>
            <w:r>
              <w:rPr>
                <w:rFonts w:ascii="Arial Bold" w:hAnsi="Arial Bold"/>
                <w:b/>
                <w:szCs w:val="22"/>
                <w:bdr w:val="nil"/>
              </w:rPr>
              <w:t>Declarations of Interest</w:t>
            </w:r>
          </w:p>
        </w:tc>
        <w:tc>
          <w:tcPr>
            <w:tcW w:w="1584" w:type="dxa"/>
          </w:tcPr>
          <w:p w14:paraId="51ACEA16" w14:textId="77777777" w:rsidR="005F7E58" w:rsidRPr="001E126B" w:rsidRDefault="005F7E58" w:rsidP="005F7E58">
            <w:pPr>
              <w:widowControl w:val="0"/>
              <w:rPr>
                <w:bCs/>
              </w:rPr>
            </w:pPr>
          </w:p>
        </w:tc>
      </w:tr>
      <w:tr w:rsidR="00100114" w:rsidRPr="002F7636" w14:paraId="7E28A129" w14:textId="77777777" w:rsidTr="00100114">
        <w:tc>
          <w:tcPr>
            <w:tcW w:w="720" w:type="dxa"/>
          </w:tcPr>
          <w:p w14:paraId="3791CB15" w14:textId="77777777" w:rsidR="00100114" w:rsidRDefault="00100114" w:rsidP="005F7E58"/>
        </w:tc>
        <w:tc>
          <w:tcPr>
            <w:tcW w:w="9072" w:type="dxa"/>
            <w:gridSpan w:val="2"/>
          </w:tcPr>
          <w:p w14:paraId="6F28BBC5" w14:textId="77777777" w:rsidR="00100114" w:rsidRDefault="00100114">
            <w:r>
              <w:t>The Chairman welcomed the committee members and auditors to the meeting.</w:t>
            </w:r>
          </w:p>
          <w:p w14:paraId="08B857ED" w14:textId="77777777" w:rsidR="00100114" w:rsidRDefault="00100114"/>
          <w:p w14:paraId="2311CD2E" w14:textId="77777777" w:rsidR="00100114" w:rsidRDefault="00100114">
            <w:r>
              <w:t xml:space="preserve">It was noted that Councillor David Neighbour and Councillor Ian Swithenbank were directors of the LGA Property Company. </w:t>
            </w:r>
          </w:p>
          <w:p w14:paraId="7CF92C62" w14:textId="77777777" w:rsidR="00100114" w:rsidRPr="002F7636" w:rsidRDefault="00100114" w:rsidP="005F7E58">
            <w:pPr>
              <w:widowControl w:val="0"/>
              <w:jc w:val="right"/>
              <w:rPr>
                <w:bCs/>
              </w:rPr>
            </w:pPr>
          </w:p>
        </w:tc>
      </w:tr>
    </w:tbl>
    <w:p w14:paraId="77BBA1F2" w14:textId="77777777" w:rsidR="005F7E58" w:rsidRDefault="005F7E58">
      <w:pPr>
        <w:rPr>
          <w:vanish/>
        </w:rPr>
      </w:pPr>
      <w:r>
        <w:rPr>
          <w:vanish/>
        </w:rPr>
        <w:t>&lt;/AI1&gt;</w:t>
      </w:r>
    </w:p>
    <w:p w14:paraId="7440AB16" w14:textId="77777777" w:rsidR="005F7E58" w:rsidRDefault="005F7E58">
      <w:pPr>
        <w:rPr>
          <w:vanish/>
        </w:rPr>
      </w:pPr>
      <w:r>
        <w:rPr>
          <w:vanish/>
        </w:rPr>
        <w:t>&lt;AI2&gt;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3E4A609E" w14:textId="77777777" w:rsidTr="00100114">
        <w:tc>
          <w:tcPr>
            <w:tcW w:w="720" w:type="dxa"/>
          </w:tcPr>
          <w:p w14:paraId="6FF053AA" w14:textId="77777777" w:rsidR="005F7E58" w:rsidRPr="006A5FCC" w:rsidRDefault="005F7E58" w:rsidP="005F7E58">
            <w:pPr>
              <w:numPr>
                <w:ilvl w:val="0"/>
                <w:numId w:val="4"/>
              </w:numPr>
              <w:ind w:left="560"/>
              <w:rPr>
                <w:szCs w:val="22"/>
              </w:rPr>
            </w:pPr>
            <w:r>
              <w:rPr>
                <w:szCs w:val="22"/>
                <w:bdr w:val="nil"/>
              </w:rPr>
              <w:t xml:space="preserve"> </w:t>
            </w:r>
          </w:p>
        </w:tc>
        <w:tc>
          <w:tcPr>
            <w:tcW w:w="7488" w:type="dxa"/>
          </w:tcPr>
          <w:p w14:paraId="71C69784" w14:textId="77777777" w:rsidR="005F7E58" w:rsidRDefault="005F7E58" w:rsidP="005F7E58">
            <w:pPr>
              <w:widowControl w:val="0"/>
              <w:rPr>
                <w:rFonts w:ascii="Arial Bold" w:hAnsi="Arial Bold"/>
                <w:b/>
                <w:szCs w:val="22"/>
                <w:bdr w:val="nil"/>
              </w:rPr>
            </w:pPr>
            <w:r>
              <w:rPr>
                <w:rFonts w:ascii="Arial Bold" w:hAnsi="Arial Bold"/>
                <w:b/>
                <w:szCs w:val="22"/>
                <w:bdr w:val="nil"/>
              </w:rPr>
              <w:t>Audit Committee work programme</w:t>
            </w:r>
          </w:p>
          <w:p w14:paraId="6AAF9F68" w14:textId="77777777" w:rsidR="003354D6" w:rsidRPr="003354D6" w:rsidRDefault="003354D6" w:rsidP="005F7E58">
            <w:pPr>
              <w:widowControl w:val="0"/>
              <w:rPr>
                <w:rFonts w:ascii="Arial Bold" w:hAnsi="Arial Bold"/>
                <w:b/>
                <w:szCs w:val="22"/>
              </w:rPr>
            </w:pPr>
          </w:p>
        </w:tc>
        <w:tc>
          <w:tcPr>
            <w:tcW w:w="1584" w:type="dxa"/>
          </w:tcPr>
          <w:p w14:paraId="6E834DBE" w14:textId="77777777" w:rsidR="005F7E58" w:rsidRPr="001E126B" w:rsidRDefault="005F7E58" w:rsidP="005F7E58">
            <w:pPr>
              <w:widowControl w:val="0"/>
              <w:rPr>
                <w:bCs/>
              </w:rPr>
            </w:pPr>
          </w:p>
        </w:tc>
      </w:tr>
      <w:tr w:rsidR="00100114" w:rsidRPr="002F7636" w14:paraId="5F83D746" w14:textId="77777777" w:rsidTr="00100114">
        <w:tc>
          <w:tcPr>
            <w:tcW w:w="720" w:type="dxa"/>
          </w:tcPr>
          <w:p w14:paraId="46696B22" w14:textId="77777777" w:rsidR="00100114" w:rsidRDefault="00100114" w:rsidP="005F7E58"/>
        </w:tc>
        <w:tc>
          <w:tcPr>
            <w:tcW w:w="9072" w:type="dxa"/>
            <w:gridSpan w:val="2"/>
          </w:tcPr>
          <w:p w14:paraId="553FDA1B" w14:textId="77777777" w:rsidR="00100114" w:rsidRDefault="00100114">
            <w:r>
              <w:t>Donna Gallagher introduced the work plan item, as similar to previous year’s work programmes.</w:t>
            </w:r>
          </w:p>
          <w:p w14:paraId="0D9F2716" w14:textId="77777777" w:rsidR="00100114" w:rsidRDefault="00100114"/>
          <w:p w14:paraId="2DAB3256" w14:textId="77777777" w:rsidR="00100114" w:rsidRDefault="00100114">
            <w:pPr>
              <w:rPr>
                <w:b/>
              </w:rPr>
            </w:pPr>
            <w:r>
              <w:rPr>
                <w:b/>
              </w:rPr>
              <w:t>Decision</w:t>
            </w:r>
          </w:p>
          <w:p w14:paraId="1BB6E1B0" w14:textId="77777777" w:rsidR="00100114" w:rsidRDefault="00100114"/>
          <w:p w14:paraId="51FCEB9D" w14:textId="77777777" w:rsidR="00100114" w:rsidRDefault="00100114">
            <w:r>
              <w:t xml:space="preserve">The Audit Committee </w:t>
            </w:r>
            <w:r>
              <w:rPr>
                <w:b/>
              </w:rPr>
              <w:t>agreed</w:t>
            </w:r>
            <w:r>
              <w:t xml:space="preserve"> its programme of work for 2017/18.</w:t>
            </w:r>
          </w:p>
          <w:p w14:paraId="6EE7B53B" w14:textId="77777777" w:rsidR="00100114" w:rsidRDefault="00100114" w:rsidP="005F7E58">
            <w:pPr>
              <w:widowControl w:val="0"/>
              <w:jc w:val="right"/>
              <w:rPr>
                <w:bCs/>
              </w:rPr>
            </w:pPr>
          </w:p>
          <w:p w14:paraId="4A209869" w14:textId="77777777" w:rsidR="003354D6" w:rsidRPr="002F7636" w:rsidRDefault="003354D6" w:rsidP="005F7E58">
            <w:pPr>
              <w:widowControl w:val="0"/>
              <w:jc w:val="right"/>
              <w:rPr>
                <w:bCs/>
              </w:rPr>
            </w:pPr>
          </w:p>
        </w:tc>
      </w:tr>
    </w:tbl>
    <w:p w14:paraId="5FE67E2E" w14:textId="77777777" w:rsidR="005F7E58" w:rsidRDefault="005F7E58">
      <w:pPr>
        <w:rPr>
          <w:vanish/>
        </w:rPr>
      </w:pPr>
      <w:r>
        <w:rPr>
          <w:vanish/>
        </w:rPr>
        <w:t>&lt;/AI2&gt;</w:t>
      </w:r>
    </w:p>
    <w:p w14:paraId="28839E2D" w14:textId="77777777" w:rsidR="005F7E58" w:rsidRDefault="005F7E58">
      <w:pPr>
        <w:rPr>
          <w:vanish/>
        </w:rPr>
      </w:pPr>
      <w:r>
        <w:rPr>
          <w:vanish/>
        </w:rPr>
        <w:t>&lt;AI3&gt;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11E8998C" w14:textId="77777777" w:rsidTr="00100114">
        <w:tc>
          <w:tcPr>
            <w:tcW w:w="720" w:type="dxa"/>
          </w:tcPr>
          <w:p w14:paraId="5C57FAAA" w14:textId="77777777" w:rsidR="005F7E58" w:rsidRPr="006A5FCC" w:rsidRDefault="005F7E58" w:rsidP="005F7E58">
            <w:pPr>
              <w:numPr>
                <w:ilvl w:val="0"/>
                <w:numId w:val="5"/>
              </w:numPr>
              <w:ind w:left="560"/>
              <w:rPr>
                <w:szCs w:val="22"/>
              </w:rPr>
            </w:pPr>
            <w:r>
              <w:rPr>
                <w:szCs w:val="22"/>
                <w:bdr w:val="nil"/>
              </w:rPr>
              <w:t xml:space="preserve"> </w:t>
            </w:r>
          </w:p>
        </w:tc>
        <w:tc>
          <w:tcPr>
            <w:tcW w:w="7488" w:type="dxa"/>
          </w:tcPr>
          <w:p w14:paraId="36382F30" w14:textId="77777777" w:rsidR="005F7E58" w:rsidRDefault="005F7E58" w:rsidP="005F7E58">
            <w:pPr>
              <w:widowControl w:val="0"/>
              <w:rPr>
                <w:rFonts w:ascii="Arial Bold" w:hAnsi="Arial Bold"/>
                <w:b/>
                <w:szCs w:val="22"/>
                <w:bdr w:val="nil"/>
              </w:rPr>
            </w:pPr>
            <w:r>
              <w:rPr>
                <w:rFonts w:ascii="Arial Bold" w:hAnsi="Arial Bold"/>
                <w:b/>
                <w:szCs w:val="22"/>
                <w:bdr w:val="nil"/>
              </w:rPr>
              <w:t>Internal Audit Programme</w:t>
            </w:r>
          </w:p>
          <w:p w14:paraId="24771FB4" w14:textId="77777777" w:rsidR="003354D6" w:rsidRPr="003354D6" w:rsidRDefault="003354D6" w:rsidP="005F7E58">
            <w:pPr>
              <w:widowControl w:val="0"/>
              <w:rPr>
                <w:rFonts w:ascii="Arial Bold" w:hAnsi="Arial Bold"/>
                <w:b/>
                <w:szCs w:val="22"/>
              </w:rPr>
            </w:pPr>
          </w:p>
        </w:tc>
        <w:tc>
          <w:tcPr>
            <w:tcW w:w="1584" w:type="dxa"/>
          </w:tcPr>
          <w:p w14:paraId="0907F903" w14:textId="77777777" w:rsidR="005F7E58" w:rsidRPr="001E126B" w:rsidRDefault="005F7E58" w:rsidP="005F7E58">
            <w:pPr>
              <w:widowControl w:val="0"/>
              <w:rPr>
                <w:bCs/>
              </w:rPr>
            </w:pPr>
          </w:p>
        </w:tc>
      </w:tr>
      <w:tr w:rsidR="00100114" w:rsidRPr="002F7636" w14:paraId="757BF01C" w14:textId="77777777" w:rsidTr="00100114">
        <w:tc>
          <w:tcPr>
            <w:tcW w:w="720" w:type="dxa"/>
          </w:tcPr>
          <w:p w14:paraId="23573ED7" w14:textId="77777777" w:rsidR="00100114" w:rsidRDefault="00100114" w:rsidP="005F7E58"/>
        </w:tc>
        <w:tc>
          <w:tcPr>
            <w:tcW w:w="9072" w:type="dxa"/>
            <w:gridSpan w:val="2"/>
          </w:tcPr>
          <w:p w14:paraId="651293AC" w14:textId="77777777" w:rsidR="00100114" w:rsidRDefault="00100114">
            <w:r>
              <w:t>Ashley Norman introduced this item, including the three areas of the internal audit programme item (</w:t>
            </w:r>
            <w:r>
              <w:rPr>
                <w:b/>
                <w:u w:val="single"/>
              </w:rPr>
              <w:t xml:space="preserve">Appendices 1, 2 </w:t>
            </w:r>
            <w:r>
              <w:t>and</w:t>
            </w:r>
            <w:r>
              <w:rPr>
                <w:b/>
                <w:u w:val="single"/>
              </w:rPr>
              <w:t xml:space="preserve"> 3</w:t>
            </w:r>
            <w:r>
              <w:t>).</w:t>
            </w:r>
          </w:p>
          <w:p w14:paraId="14B817F6" w14:textId="77777777" w:rsidR="00100114" w:rsidRPr="002F7636" w:rsidRDefault="00100114" w:rsidP="005F7E58">
            <w:pPr>
              <w:widowControl w:val="0"/>
              <w:jc w:val="right"/>
              <w:rPr>
                <w:bCs/>
              </w:rPr>
            </w:pPr>
          </w:p>
        </w:tc>
      </w:tr>
    </w:tbl>
    <w:p w14:paraId="2EB767C5" w14:textId="77777777" w:rsidR="005F7E58" w:rsidRDefault="005F7E58">
      <w:pPr>
        <w:rPr>
          <w:vanish/>
        </w:rPr>
      </w:pPr>
      <w:r>
        <w:rPr>
          <w:vanish/>
        </w:rPr>
        <w:t>&lt;/AI3&gt;</w:t>
      </w:r>
    </w:p>
    <w:p w14:paraId="4D14C54F" w14:textId="77777777" w:rsidR="005F7E58" w:rsidRDefault="005F7E58">
      <w:pPr>
        <w:rPr>
          <w:vanish/>
        </w:rPr>
      </w:pPr>
      <w:r>
        <w:rPr>
          <w:vanish/>
        </w:rPr>
        <w:t>&lt;AI4&gt;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5F7E58" w:rsidRPr="008D7C17" w14:paraId="6A043083" w14:textId="77777777" w:rsidTr="005F7E58">
        <w:tc>
          <w:tcPr>
            <w:tcW w:w="7470" w:type="dxa"/>
            <w:gridSpan w:val="2"/>
          </w:tcPr>
          <w:p w14:paraId="30E25240" w14:textId="77777777" w:rsidR="005F7E58" w:rsidRDefault="005F7E58" w:rsidP="005F7E58">
            <w:pPr>
              <w:numPr>
                <w:ilvl w:val="1"/>
                <w:numId w:val="6"/>
              </w:numPr>
            </w:pPr>
            <w:r>
              <w:rPr>
                <w:bdr w:val="nil"/>
              </w:rPr>
              <w:t>Appendix 1: TIAA Block 2 report and recommendations</w:t>
            </w:r>
          </w:p>
          <w:p w14:paraId="757A1FF6" w14:textId="77777777" w:rsidR="005F7E58" w:rsidRPr="00E1671A" w:rsidRDefault="005F7E58" w:rsidP="005F7E58"/>
        </w:tc>
        <w:tc>
          <w:tcPr>
            <w:tcW w:w="1620" w:type="dxa"/>
          </w:tcPr>
          <w:p w14:paraId="692921D7" w14:textId="77777777" w:rsidR="005F7E58" w:rsidRPr="008D7C17" w:rsidRDefault="005F7E58" w:rsidP="005F7E58">
            <w:pPr>
              <w:widowControl w:val="0"/>
              <w:rPr>
                <w:bCs/>
                <w:i/>
              </w:rPr>
            </w:pPr>
          </w:p>
        </w:tc>
      </w:tr>
      <w:tr w:rsidR="00100114" w:rsidRPr="002F7636" w14:paraId="50BCBE89" w14:textId="77777777" w:rsidTr="005F7E58">
        <w:tc>
          <w:tcPr>
            <w:tcW w:w="810" w:type="dxa"/>
          </w:tcPr>
          <w:p w14:paraId="3DC5F1A6" w14:textId="77777777" w:rsidR="00100114" w:rsidRDefault="00100114" w:rsidP="005F7E58"/>
        </w:tc>
        <w:tc>
          <w:tcPr>
            <w:tcW w:w="8280" w:type="dxa"/>
            <w:gridSpan w:val="2"/>
          </w:tcPr>
          <w:p w14:paraId="6DD441E5" w14:textId="77777777" w:rsidR="00100114" w:rsidRDefault="00100114">
            <w:r>
              <w:t>Ashley Norman introduced the report, outlining the three areas included in this block - company structure, debt collection and procurement arrangements. Key recommendations included budget holders taking greater responsibility for debt collection, which had been accepted by senior management, and the upfront payments for events, which had not been accepted.</w:t>
            </w:r>
          </w:p>
          <w:p w14:paraId="02F0F12C" w14:textId="77777777" w:rsidR="00100114" w:rsidRDefault="00100114"/>
          <w:p w14:paraId="7060C593" w14:textId="77777777" w:rsidR="00100114" w:rsidRDefault="00100114">
            <w:r>
              <w:t xml:space="preserve">He outlined five recommendations around procurement including: the circumvention of procurement rules, noncompliance with the ‘no PO, no pay’ finance policy, the absence of key performance indicator’s and the maintenance of the contracts register around extensions and supportive documentation. All </w:t>
            </w:r>
            <w:r>
              <w:lastRenderedPageBreak/>
              <w:t>procurement recommendations had been accepted by senior management and timescales for action agreed.</w:t>
            </w:r>
          </w:p>
          <w:p w14:paraId="4B889922" w14:textId="77777777" w:rsidR="00100114" w:rsidRDefault="00100114"/>
          <w:p w14:paraId="52677A27" w14:textId="77777777" w:rsidR="00100114" w:rsidRDefault="00100114">
            <w:r>
              <w:t>TIAA’s follow up review had found evidence that 11 out of 12 recommendations had been implemented with the final recommendation in progress.</w:t>
            </w:r>
          </w:p>
          <w:p w14:paraId="66C60AF9" w14:textId="77777777" w:rsidR="00100114" w:rsidRDefault="00100114"/>
          <w:p w14:paraId="569FE65F" w14:textId="77777777" w:rsidR="00100114" w:rsidRPr="003354D6" w:rsidRDefault="003354D6">
            <w:pPr>
              <w:rPr>
                <w:b/>
              </w:rPr>
            </w:pPr>
            <w:r>
              <w:rPr>
                <w:b/>
              </w:rPr>
              <w:t>Discussion</w:t>
            </w:r>
          </w:p>
          <w:p w14:paraId="4F55A446" w14:textId="77777777" w:rsidR="00100114" w:rsidRDefault="00100114">
            <w:r>
              <w:t>Members queried why senior managers had not accepted the auditor’s recommendation on upfront payments for events. Officers explained that this was because a number of organisations – for example some district councils and housing associations - do not currently have the facility to make payments in advance. However, upfront payments are taken where possible and the intention is to move towards this being compulsory in the future.</w:t>
            </w:r>
          </w:p>
          <w:p w14:paraId="238C0280" w14:textId="77777777" w:rsidR="00100114" w:rsidRDefault="00100114"/>
          <w:p w14:paraId="4D489FA6" w14:textId="77777777" w:rsidR="00100114" w:rsidRDefault="00100114">
            <w:r>
              <w:t>Members also discussed the reoccurring issue of processes on issuing of POs and payment of invoices not being adhered to. Members emphasised the need for a culture shift in this area. Sarah Pickup outlined work currently being undertaken to encourage budget-holders to take ownership of these issues.</w:t>
            </w:r>
          </w:p>
          <w:p w14:paraId="76217127" w14:textId="77777777" w:rsidR="00100114" w:rsidRDefault="00100114"/>
          <w:p w14:paraId="7BFEDACD" w14:textId="77777777" w:rsidR="00100114" w:rsidRDefault="00100114">
            <w:r>
              <w:t>Members were generally satisfied with the results of the inspection, particularly in terms of progress demonstrated by the follow-up review, and welcomed the next follow-up review.</w:t>
            </w:r>
          </w:p>
          <w:p w14:paraId="7B1CF191" w14:textId="77777777" w:rsidR="00100114" w:rsidRDefault="00100114"/>
          <w:p w14:paraId="206C34B3" w14:textId="77777777" w:rsidR="00100114" w:rsidRPr="003354D6" w:rsidRDefault="003354D6">
            <w:pPr>
              <w:rPr>
                <w:b/>
              </w:rPr>
            </w:pPr>
            <w:r>
              <w:rPr>
                <w:b/>
              </w:rPr>
              <w:t>Decision</w:t>
            </w:r>
          </w:p>
          <w:p w14:paraId="722E7597" w14:textId="77777777" w:rsidR="00100114" w:rsidRDefault="00100114">
            <w:r>
              <w:t xml:space="preserve">The Audit Committee </w:t>
            </w:r>
            <w:r>
              <w:rPr>
                <w:b/>
              </w:rPr>
              <w:t>approved</w:t>
            </w:r>
            <w:r>
              <w:t xml:space="preserve"> TIAA’s block 2 report and recommendations.</w:t>
            </w:r>
          </w:p>
          <w:p w14:paraId="7B621564" w14:textId="77777777" w:rsidR="00100114" w:rsidRDefault="00100114"/>
          <w:p w14:paraId="7CDBA120" w14:textId="77777777" w:rsidR="00100114" w:rsidRDefault="00100114">
            <w:pPr>
              <w:rPr>
                <w:b/>
              </w:rPr>
            </w:pPr>
            <w:r>
              <w:rPr>
                <w:b/>
              </w:rPr>
              <w:t>Action</w:t>
            </w:r>
          </w:p>
          <w:p w14:paraId="10C135F3" w14:textId="77777777" w:rsidR="00100114" w:rsidRDefault="00100114"/>
          <w:p w14:paraId="5F3F5F5A" w14:textId="77777777" w:rsidR="00100114" w:rsidRDefault="00100114">
            <w:r>
              <w:t>Officers to implement changes in line with TIAA’s recommendations, except in the case of the rejected recommendation around compulsory upfront payments for events.</w:t>
            </w:r>
          </w:p>
          <w:p w14:paraId="1D39E2C1" w14:textId="77777777" w:rsidR="00100114" w:rsidRPr="002F7636" w:rsidRDefault="00100114" w:rsidP="005F7E58">
            <w:pPr>
              <w:widowControl w:val="0"/>
              <w:jc w:val="right"/>
              <w:rPr>
                <w:bCs/>
              </w:rPr>
            </w:pPr>
          </w:p>
        </w:tc>
      </w:tr>
    </w:tbl>
    <w:p w14:paraId="73E65EFD" w14:textId="77777777" w:rsidR="005F7E58" w:rsidRDefault="005F7E58">
      <w:pPr>
        <w:rPr>
          <w:vanish/>
        </w:rPr>
      </w:pPr>
      <w:r>
        <w:rPr>
          <w:vanish/>
        </w:rPr>
        <w:lastRenderedPageBreak/>
        <w:t>&lt;/AI4&gt;</w:t>
      </w:r>
    </w:p>
    <w:p w14:paraId="67D70C37" w14:textId="77777777" w:rsidR="005F7E58" w:rsidRDefault="005F7E58">
      <w:pPr>
        <w:rPr>
          <w:vanish/>
        </w:rPr>
      </w:pPr>
      <w:r>
        <w:rPr>
          <w:vanish/>
        </w:rPr>
        <w:t>&lt;AI5&gt;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5F7E58" w:rsidRPr="008D7C17" w14:paraId="6324B263" w14:textId="77777777" w:rsidTr="005F7E58">
        <w:tc>
          <w:tcPr>
            <w:tcW w:w="7470" w:type="dxa"/>
            <w:gridSpan w:val="2"/>
          </w:tcPr>
          <w:p w14:paraId="3FFC8102" w14:textId="77777777" w:rsidR="005F7E58" w:rsidRDefault="005F7E58" w:rsidP="005F7E58">
            <w:pPr>
              <w:numPr>
                <w:ilvl w:val="1"/>
                <w:numId w:val="7"/>
              </w:numPr>
            </w:pPr>
            <w:r>
              <w:rPr>
                <w:bdr w:val="nil"/>
              </w:rPr>
              <w:t>Appendix 2: TIAA 2016/17 annual report</w:t>
            </w:r>
          </w:p>
          <w:p w14:paraId="54EDFA33" w14:textId="77777777" w:rsidR="005F7E58" w:rsidRPr="00E1671A" w:rsidRDefault="005F7E58" w:rsidP="005F7E58"/>
        </w:tc>
        <w:tc>
          <w:tcPr>
            <w:tcW w:w="1620" w:type="dxa"/>
          </w:tcPr>
          <w:p w14:paraId="48A45383" w14:textId="77777777" w:rsidR="005F7E58" w:rsidRPr="008D7C17" w:rsidRDefault="005F7E58" w:rsidP="005F7E58">
            <w:pPr>
              <w:widowControl w:val="0"/>
              <w:rPr>
                <w:bCs/>
                <w:i/>
              </w:rPr>
            </w:pPr>
          </w:p>
        </w:tc>
      </w:tr>
      <w:tr w:rsidR="00100114" w:rsidRPr="002F7636" w14:paraId="131C530E" w14:textId="77777777" w:rsidTr="005F7E58">
        <w:tc>
          <w:tcPr>
            <w:tcW w:w="810" w:type="dxa"/>
          </w:tcPr>
          <w:p w14:paraId="11DC6C17" w14:textId="77777777" w:rsidR="00100114" w:rsidRDefault="00100114" w:rsidP="005F7E58"/>
        </w:tc>
        <w:tc>
          <w:tcPr>
            <w:tcW w:w="8280" w:type="dxa"/>
            <w:gridSpan w:val="2"/>
          </w:tcPr>
          <w:p w14:paraId="502B65F4" w14:textId="77777777" w:rsidR="00100114" w:rsidRDefault="00100114">
            <w:r>
              <w:t>Ashley Norman (TIAA) introduced report, highlighting the satisfactory audit report around risk management and governance processes.</w:t>
            </w:r>
          </w:p>
          <w:p w14:paraId="2BF312F0" w14:textId="77777777" w:rsidR="00100114" w:rsidRDefault="00100114"/>
          <w:p w14:paraId="272A5E1A" w14:textId="77777777" w:rsidR="00100114" w:rsidRPr="003354D6" w:rsidRDefault="003354D6">
            <w:pPr>
              <w:rPr>
                <w:b/>
              </w:rPr>
            </w:pPr>
            <w:r>
              <w:rPr>
                <w:b/>
              </w:rPr>
              <w:t>Decision</w:t>
            </w:r>
          </w:p>
          <w:p w14:paraId="1F68C7EA" w14:textId="77777777" w:rsidR="00100114" w:rsidRDefault="00100114">
            <w:r>
              <w:t xml:space="preserve">The Audit Committee </w:t>
            </w:r>
            <w:r>
              <w:rPr>
                <w:b/>
              </w:rPr>
              <w:t>approved</w:t>
            </w:r>
            <w:r>
              <w:t xml:space="preserve"> TIAA’s annual report.</w:t>
            </w:r>
          </w:p>
          <w:p w14:paraId="11CA25E4" w14:textId="77777777" w:rsidR="00100114" w:rsidRPr="002F7636" w:rsidRDefault="00100114" w:rsidP="005F7E58">
            <w:pPr>
              <w:widowControl w:val="0"/>
              <w:jc w:val="right"/>
              <w:rPr>
                <w:bCs/>
              </w:rPr>
            </w:pPr>
          </w:p>
        </w:tc>
      </w:tr>
    </w:tbl>
    <w:p w14:paraId="40AAEE8B" w14:textId="77777777" w:rsidR="005F7E58" w:rsidRDefault="005F7E58">
      <w:pPr>
        <w:rPr>
          <w:vanish/>
        </w:rPr>
      </w:pPr>
      <w:r>
        <w:rPr>
          <w:vanish/>
        </w:rPr>
        <w:t>&lt;/AI5&gt;</w:t>
      </w:r>
    </w:p>
    <w:p w14:paraId="788E15A5" w14:textId="77777777" w:rsidR="005F7E58" w:rsidRDefault="005F7E58">
      <w:pPr>
        <w:rPr>
          <w:vanish/>
        </w:rPr>
      </w:pPr>
      <w:r>
        <w:rPr>
          <w:vanish/>
        </w:rPr>
        <w:t>&lt;AI6&gt;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5F7E58" w:rsidRPr="008D7C17" w14:paraId="4C29623D" w14:textId="77777777" w:rsidTr="005F7E58">
        <w:tc>
          <w:tcPr>
            <w:tcW w:w="7470" w:type="dxa"/>
            <w:gridSpan w:val="2"/>
          </w:tcPr>
          <w:p w14:paraId="7DE16242" w14:textId="77777777" w:rsidR="005F7E58" w:rsidRDefault="005F7E58" w:rsidP="005F7E58">
            <w:pPr>
              <w:numPr>
                <w:ilvl w:val="1"/>
                <w:numId w:val="8"/>
              </w:numPr>
            </w:pPr>
            <w:r>
              <w:rPr>
                <w:bdr w:val="nil"/>
              </w:rPr>
              <w:t>Appendix 3: TIAA draft Internal Audit plan for 2017/18</w:t>
            </w:r>
          </w:p>
          <w:p w14:paraId="4A837FFA" w14:textId="77777777" w:rsidR="005F7E58" w:rsidRPr="00E1671A" w:rsidRDefault="005F7E58" w:rsidP="005F7E58"/>
        </w:tc>
        <w:tc>
          <w:tcPr>
            <w:tcW w:w="1620" w:type="dxa"/>
          </w:tcPr>
          <w:p w14:paraId="31D1795B" w14:textId="77777777" w:rsidR="005F7E58" w:rsidRPr="008D7C17" w:rsidRDefault="005F7E58" w:rsidP="005F7E58">
            <w:pPr>
              <w:widowControl w:val="0"/>
              <w:rPr>
                <w:bCs/>
                <w:i/>
              </w:rPr>
            </w:pPr>
          </w:p>
        </w:tc>
      </w:tr>
      <w:tr w:rsidR="00100114" w:rsidRPr="002F7636" w14:paraId="4DC2DB11" w14:textId="77777777" w:rsidTr="005F7E58">
        <w:tc>
          <w:tcPr>
            <w:tcW w:w="810" w:type="dxa"/>
          </w:tcPr>
          <w:p w14:paraId="6AAA9141" w14:textId="77777777" w:rsidR="00100114" w:rsidRDefault="00100114" w:rsidP="005F7E58"/>
        </w:tc>
        <w:tc>
          <w:tcPr>
            <w:tcW w:w="8280" w:type="dxa"/>
            <w:gridSpan w:val="2"/>
          </w:tcPr>
          <w:p w14:paraId="2C935550" w14:textId="77777777" w:rsidR="00100114" w:rsidRDefault="00100114">
            <w:r>
              <w:t>Ashley Norman introduced the internal audit draft plan for 2017/18 and confirmed that it had been agreed by the Senior Management Team (SMT) subject to confirmation of some elements of block 2. Block 1 had been amended from the 2016/17 plan to include some additional items including cyber security and credit control at the request of SMT. He requested further suggestions from members.</w:t>
            </w:r>
          </w:p>
          <w:p w14:paraId="2B3CAAB7" w14:textId="77777777" w:rsidR="00100114" w:rsidRDefault="00100114"/>
          <w:p w14:paraId="516E015A" w14:textId="77777777" w:rsidR="00100114" w:rsidRPr="003354D6" w:rsidRDefault="003354D6">
            <w:pPr>
              <w:rPr>
                <w:b/>
              </w:rPr>
            </w:pPr>
            <w:r>
              <w:rPr>
                <w:b/>
              </w:rPr>
              <w:t>Discussion</w:t>
            </w:r>
          </w:p>
          <w:p w14:paraId="0436AF7E" w14:textId="77777777" w:rsidR="00100114" w:rsidRDefault="00100114">
            <w:r>
              <w:lastRenderedPageBreak/>
              <w:t>Members considered the possibility of grant funded projects being reviewed on a rolling basis in future, as they require oversight, but are too numerous to be reviewed every year.</w:t>
            </w:r>
          </w:p>
          <w:p w14:paraId="40F7276D" w14:textId="77777777" w:rsidR="00100114" w:rsidRDefault="00100114"/>
          <w:p w14:paraId="64B05258" w14:textId="77777777" w:rsidR="00100114" w:rsidRDefault="00100114">
            <w:r>
              <w:t>Members also discussed current LGA cyber-security arrangements through Brent. Officers reported that during the recent NHS cyber attach the Public Services Accreditation apparently protected most local authorities and the LGA from being affected. However, this area clearly required more focus in other councils and internally so that the LGA may act as a leader in this area, hence its inclusion in next year’s audit program.</w:t>
            </w:r>
          </w:p>
          <w:p w14:paraId="5B53DA53" w14:textId="77777777" w:rsidR="00100114" w:rsidRDefault="00100114"/>
          <w:p w14:paraId="3AEB929F" w14:textId="77777777" w:rsidR="00100114" w:rsidRPr="003354D6" w:rsidRDefault="003354D6">
            <w:pPr>
              <w:rPr>
                <w:b/>
              </w:rPr>
            </w:pPr>
            <w:r>
              <w:rPr>
                <w:b/>
              </w:rPr>
              <w:t>Decision</w:t>
            </w:r>
          </w:p>
          <w:p w14:paraId="7A64A9E3" w14:textId="77777777" w:rsidR="00100114" w:rsidRDefault="00100114">
            <w:r>
              <w:t xml:space="preserve">The Audit Committee </w:t>
            </w:r>
            <w:r>
              <w:rPr>
                <w:b/>
              </w:rPr>
              <w:t>approved</w:t>
            </w:r>
            <w:r>
              <w:t xml:space="preserve"> TIAA’s draft Internal Audit plan for 2017/18 subject to the inclusion of a rolling review of grant funded projects.</w:t>
            </w:r>
          </w:p>
          <w:p w14:paraId="02D6584A" w14:textId="77777777" w:rsidR="00100114" w:rsidRDefault="00100114"/>
          <w:p w14:paraId="7405B4DE" w14:textId="77777777" w:rsidR="00100114" w:rsidRPr="003354D6" w:rsidRDefault="003354D6">
            <w:pPr>
              <w:rPr>
                <w:b/>
              </w:rPr>
            </w:pPr>
            <w:r>
              <w:rPr>
                <w:b/>
              </w:rPr>
              <w:t>Actions</w:t>
            </w:r>
          </w:p>
          <w:p w14:paraId="19F8AC61" w14:textId="77777777" w:rsidR="00100114" w:rsidRDefault="00100114">
            <w:r>
              <w:t>Officers to continue working on the area of cyber security to ensure LGA ICT systems resilience and provide support to councils in LGA membership.</w:t>
            </w:r>
          </w:p>
          <w:p w14:paraId="73F9B5DD" w14:textId="77777777" w:rsidR="00100114" w:rsidRPr="002F7636" w:rsidRDefault="00100114" w:rsidP="005F7E58">
            <w:pPr>
              <w:widowControl w:val="0"/>
              <w:jc w:val="right"/>
              <w:rPr>
                <w:bCs/>
              </w:rPr>
            </w:pPr>
          </w:p>
        </w:tc>
      </w:tr>
    </w:tbl>
    <w:p w14:paraId="475AF7B6" w14:textId="77777777" w:rsidR="005F7E58" w:rsidRDefault="005F7E58">
      <w:pPr>
        <w:rPr>
          <w:vanish/>
        </w:rPr>
      </w:pPr>
      <w:r>
        <w:rPr>
          <w:vanish/>
        </w:rPr>
        <w:lastRenderedPageBreak/>
        <w:t>&lt;/AI6&gt;</w:t>
      </w:r>
    </w:p>
    <w:p w14:paraId="07DDE779" w14:textId="77777777" w:rsidR="005F7E58" w:rsidRDefault="005F7E58">
      <w:pPr>
        <w:rPr>
          <w:vanish/>
        </w:rPr>
      </w:pPr>
      <w:r>
        <w:rPr>
          <w:vanish/>
        </w:rPr>
        <w:t>&lt;AI7&gt;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9072"/>
      </w:tblGrid>
      <w:tr w:rsidR="00100114" w:rsidRPr="001E126B" w14:paraId="73992256" w14:textId="77777777" w:rsidTr="00100114">
        <w:tc>
          <w:tcPr>
            <w:tcW w:w="720" w:type="dxa"/>
          </w:tcPr>
          <w:p w14:paraId="6705C514" w14:textId="77777777" w:rsidR="00100114" w:rsidRPr="006A5FCC" w:rsidRDefault="00100114" w:rsidP="005F7E58">
            <w:pPr>
              <w:numPr>
                <w:ilvl w:val="0"/>
                <w:numId w:val="9"/>
              </w:numPr>
              <w:ind w:left="560"/>
              <w:rPr>
                <w:szCs w:val="22"/>
              </w:rPr>
            </w:pPr>
            <w:r>
              <w:rPr>
                <w:szCs w:val="22"/>
                <w:bdr w:val="nil"/>
              </w:rPr>
              <w:t xml:space="preserve"> </w:t>
            </w:r>
          </w:p>
        </w:tc>
        <w:tc>
          <w:tcPr>
            <w:tcW w:w="9072" w:type="dxa"/>
          </w:tcPr>
          <w:p w14:paraId="63666BFA" w14:textId="77777777" w:rsidR="00100114" w:rsidRDefault="00100114" w:rsidP="005F7E58">
            <w:pPr>
              <w:widowControl w:val="0"/>
              <w:rPr>
                <w:rFonts w:ascii="Arial Bold" w:hAnsi="Arial Bold"/>
                <w:b/>
                <w:szCs w:val="22"/>
              </w:rPr>
            </w:pPr>
            <w:r>
              <w:rPr>
                <w:rFonts w:ascii="Arial Bold" w:hAnsi="Arial Bold"/>
                <w:b/>
                <w:szCs w:val="22"/>
                <w:bdr w:val="nil"/>
              </w:rPr>
              <w:t>LGA and Associated Companies Audited accounts for the year 2016/17</w:t>
            </w:r>
          </w:p>
          <w:p w14:paraId="6B493C3F" w14:textId="77777777" w:rsidR="00100114" w:rsidRPr="001E126B" w:rsidRDefault="00100114" w:rsidP="005F7E58">
            <w:pPr>
              <w:widowControl w:val="0"/>
              <w:rPr>
                <w:bCs/>
              </w:rPr>
            </w:pPr>
            <w:r w:rsidRPr="00CE3DD7">
              <w:rPr>
                <w:rFonts w:ascii="Arial Bold" w:hAnsi="Arial Bold"/>
                <w:b/>
              </w:rPr>
              <w:t xml:space="preserve"> </w:t>
            </w:r>
          </w:p>
        </w:tc>
      </w:tr>
      <w:tr w:rsidR="00100114" w:rsidRPr="002F7636" w14:paraId="3355F1DC" w14:textId="77777777" w:rsidTr="005F7E58">
        <w:tc>
          <w:tcPr>
            <w:tcW w:w="720" w:type="dxa"/>
          </w:tcPr>
          <w:p w14:paraId="54C73B58" w14:textId="77777777" w:rsidR="00100114" w:rsidRDefault="00100114" w:rsidP="005F7E58"/>
        </w:tc>
        <w:tc>
          <w:tcPr>
            <w:tcW w:w="9072" w:type="dxa"/>
          </w:tcPr>
          <w:p w14:paraId="7A3C93C7" w14:textId="77777777" w:rsidR="00100114" w:rsidRDefault="00100114">
            <w:r>
              <w:t>Jonathan Gratte introduced this item. He explained that the report covered the four company entities (Appendix A-D) and the external audit report (Appendix E).</w:t>
            </w:r>
          </w:p>
          <w:p w14:paraId="00FE4051" w14:textId="77777777" w:rsidR="00100114" w:rsidRDefault="00100114"/>
          <w:p w14:paraId="34F62331" w14:textId="77777777" w:rsidR="00100114" w:rsidRDefault="00100114">
            <w:r>
              <w:t>Alastair Duke (Engagement Partner, PKF Littlejohn LLP) presented the external audit report, noting that the majority of the audit was complete with minor documents outstanding. A risk-based process had been used to carry out the audit. He reported that the auditors were satisfied with the testing they had carried out and had made recommendations around four areas: controls round manual journals and independently maintained journal logs, member declarations accuracy, salary update letters and quantity of credit notes. He reported that SMT had agreed all these recommendations, except those on salary update letters which were deemed an unnecessary administrative burden due to employees’ easy access to their own salary information.</w:t>
            </w:r>
          </w:p>
          <w:p w14:paraId="61B0D861" w14:textId="77777777" w:rsidR="00100114" w:rsidRDefault="00100114"/>
          <w:p w14:paraId="5869F4D0" w14:textId="77777777" w:rsidR="00100114" w:rsidRPr="003354D6" w:rsidRDefault="003354D6">
            <w:pPr>
              <w:rPr>
                <w:b/>
              </w:rPr>
            </w:pPr>
            <w:r>
              <w:rPr>
                <w:b/>
              </w:rPr>
              <w:t>Discussion</w:t>
            </w:r>
          </w:p>
          <w:p w14:paraId="73E1C38C" w14:textId="77777777" w:rsidR="00100114" w:rsidRDefault="00100114">
            <w:r>
              <w:t>Members discussed the pension deficit and plans to move the Camden pension to Merseyside alongside the existing Merseyside pension fund and the need for the LGA to stand behind the IDeA pension deficit. Members also raised concerns about the clarity of information for General Assembly on pension deficit plans and requested that an FAQ be written.</w:t>
            </w:r>
          </w:p>
          <w:p w14:paraId="3717D8F5" w14:textId="77777777" w:rsidR="00100114" w:rsidRDefault="00100114"/>
          <w:p w14:paraId="28EAF5AA" w14:textId="77777777" w:rsidR="00100114" w:rsidRPr="003354D6" w:rsidRDefault="003354D6">
            <w:pPr>
              <w:rPr>
                <w:b/>
              </w:rPr>
            </w:pPr>
            <w:r>
              <w:rPr>
                <w:b/>
              </w:rPr>
              <w:t>Decisions</w:t>
            </w:r>
          </w:p>
          <w:p w14:paraId="58DF393F" w14:textId="77777777" w:rsidR="00100114" w:rsidRDefault="00100114">
            <w:r>
              <w:t xml:space="preserve">The Audit Committee </w:t>
            </w:r>
            <w:r>
              <w:rPr>
                <w:b/>
              </w:rPr>
              <w:t>received</w:t>
            </w:r>
            <w:r>
              <w:t xml:space="preserve"> the financial statements of the LGA’s associated companies to be presented to the LGA Leadership Board, IDeA, LGA (Properties) Ltd and LGMB.</w:t>
            </w:r>
          </w:p>
          <w:p w14:paraId="06A41276" w14:textId="77777777" w:rsidR="00100114" w:rsidRDefault="00100114"/>
          <w:p w14:paraId="5F64F3E9" w14:textId="77777777" w:rsidR="00100114" w:rsidRPr="003354D6" w:rsidRDefault="003354D6">
            <w:pPr>
              <w:rPr>
                <w:b/>
              </w:rPr>
            </w:pPr>
            <w:r>
              <w:rPr>
                <w:b/>
              </w:rPr>
              <w:t>Actions</w:t>
            </w:r>
          </w:p>
          <w:p w14:paraId="3EEE1094" w14:textId="77777777" w:rsidR="00100114" w:rsidRDefault="00100114">
            <w:r>
              <w:t>Officers to work on the recommendations given by the auditor, excluding the salary information recommendation which will be reviewed by the auditors in the next audit.</w:t>
            </w:r>
          </w:p>
          <w:p w14:paraId="4DFEDCED" w14:textId="77777777" w:rsidR="00100114" w:rsidRDefault="00100114"/>
          <w:p w14:paraId="456E3DCC" w14:textId="77777777" w:rsidR="00B47B55" w:rsidRDefault="00B47B55"/>
          <w:p w14:paraId="3145A2D0" w14:textId="77777777" w:rsidR="00B47B55" w:rsidRDefault="00B47B55"/>
          <w:p w14:paraId="5783C806" w14:textId="77777777" w:rsidR="00100114" w:rsidRDefault="00100114" w:rsidP="00100114">
            <w:r>
              <w:t>Sarah Pickup to work on a simple FAQ for General Assembly around the pension deficit.</w:t>
            </w:r>
          </w:p>
          <w:p w14:paraId="759D6C70" w14:textId="77777777" w:rsidR="00100114" w:rsidRPr="002F7636" w:rsidRDefault="00100114" w:rsidP="005F7E58">
            <w:pPr>
              <w:widowControl w:val="0"/>
              <w:jc w:val="right"/>
              <w:rPr>
                <w:bCs/>
              </w:rPr>
            </w:pPr>
          </w:p>
        </w:tc>
      </w:tr>
    </w:tbl>
    <w:p w14:paraId="032C516D" w14:textId="77777777" w:rsidR="005F7E58" w:rsidRDefault="005F7E58">
      <w:pPr>
        <w:rPr>
          <w:vanish/>
        </w:rPr>
      </w:pPr>
      <w:r>
        <w:rPr>
          <w:vanish/>
        </w:rPr>
        <w:lastRenderedPageBreak/>
        <w:t>&lt;/AI7&gt;</w:t>
      </w:r>
    </w:p>
    <w:p w14:paraId="563C8788" w14:textId="77777777" w:rsidR="005F7E58" w:rsidRDefault="005F7E58">
      <w:pPr>
        <w:rPr>
          <w:vanish/>
        </w:rPr>
      </w:pPr>
      <w:r>
        <w:rPr>
          <w:vanish/>
        </w:rPr>
        <w:t>&lt;AI8&gt;</w:t>
      </w:r>
    </w:p>
    <w:p w14:paraId="6B284A71" w14:textId="77777777" w:rsidR="005F7E58" w:rsidRDefault="005F7E58">
      <w:pPr>
        <w:rPr>
          <w:vanish/>
        </w:rPr>
      </w:pP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2F9A7A93" w14:textId="77777777" w:rsidTr="00100114">
        <w:tc>
          <w:tcPr>
            <w:tcW w:w="720" w:type="dxa"/>
          </w:tcPr>
          <w:p w14:paraId="03BCC053" w14:textId="77777777" w:rsidR="005F7E58" w:rsidRPr="006A5FCC" w:rsidRDefault="005F7E58" w:rsidP="005F7E58">
            <w:pPr>
              <w:numPr>
                <w:ilvl w:val="0"/>
                <w:numId w:val="10"/>
              </w:numPr>
              <w:ind w:left="560"/>
              <w:rPr>
                <w:szCs w:val="22"/>
              </w:rPr>
            </w:pPr>
            <w:r>
              <w:rPr>
                <w:szCs w:val="22"/>
                <w:bdr w:val="nil"/>
              </w:rPr>
              <w:t xml:space="preserve"> </w:t>
            </w:r>
          </w:p>
        </w:tc>
        <w:tc>
          <w:tcPr>
            <w:tcW w:w="7488" w:type="dxa"/>
          </w:tcPr>
          <w:p w14:paraId="7B2AD996" w14:textId="77777777" w:rsidR="005F7E58" w:rsidRDefault="005F7E58" w:rsidP="005F7E58">
            <w:pPr>
              <w:widowControl w:val="0"/>
              <w:rPr>
                <w:rFonts w:ascii="Arial Bold" w:hAnsi="Arial Bold"/>
                <w:b/>
                <w:szCs w:val="22"/>
              </w:rPr>
            </w:pPr>
            <w:r>
              <w:rPr>
                <w:rFonts w:ascii="Arial Bold" w:hAnsi="Arial Bold"/>
                <w:b/>
                <w:szCs w:val="22"/>
                <w:bdr w:val="nil"/>
              </w:rPr>
              <w:t>Performance Reporting - 2016/17</w:t>
            </w:r>
          </w:p>
          <w:p w14:paraId="35EA3A7E" w14:textId="77777777" w:rsidR="005F7E58" w:rsidRPr="00CE3DD7" w:rsidRDefault="005F7E58" w:rsidP="005F7E58">
            <w:pPr>
              <w:widowControl w:val="0"/>
              <w:rPr>
                <w:rFonts w:ascii="Arial Bold" w:hAnsi="Arial Bold"/>
                <w:b/>
              </w:rPr>
            </w:pPr>
          </w:p>
        </w:tc>
        <w:tc>
          <w:tcPr>
            <w:tcW w:w="1584" w:type="dxa"/>
          </w:tcPr>
          <w:p w14:paraId="75D2B5EF" w14:textId="77777777" w:rsidR="005F7E58" w:rsidRPr="001E126B" w:rsidRDefault="005F7E58" w:rsidP="005F7E58">
            <w:pPr>
              <w:widowControl w:val="0"/>
              <w:rPr>
                <w:bCs/>
              </w:rPr>
            </w:pPr>
          </w:p>
        </w:tc>
      </w:tr>
      <w:tr w:rsidR="00100114" w:rsidRPr="002F7636" w14:paraId="467EEEEC" w14:textId="77777777" w:rsidTr="00100114">
        <w:tc>
          <w:tcPr>
            <w:tcW w:w="720" w:type="dxa"/>
          </w:tcPr>
          <w:p w14:paraId="545D30D8" w14:textId="77777777" w:rsidR="00100114" w:rsidRDefault="00100114" w:rsidP="005F7E58"/>
        </w:tc>
        <w:tc>
          <w:tcPr>
            <w:tcW w:w="9072" w:type="dxa"/>
            <w:gridSpan w:val="2"/>
          </w:tcPr>
          <w:p w14:paraId="1627A756" w14:textId="77777777" w:rsidR="00100114" w:rsidRDefault="00100114">
            <w:r>
              <w:t xml:space="preserve">Donna Gallagher introduced the six-month performance report for 2016/17. She explained that of the 50 key performance indicators (KPI) set by the Department of Communities and Local Government (DCLG) 48 had been achieved, with two </w:t>
            </w:r>
            <w:r w:rsidR="00527B0A">
              <w:t>around</w:t>
            </w:r>
            <w:r>
              <w:t xml:space="preserve"> </w:t>
            </w:r>
            <w:r w:rsidR="00527B0A">
              <w:t xml:space="preserve">supporting councils on fraud with </w:t>
            </w:r>
            <w:r>
              <w:t>the</w:t>
            </w:r>
            <w:r w:rsidR="00527B0A">
              <w:t xml:space="preserve"> C</w:t>
            </w:r>
            <w:r>
              <w:t xml:space="preserve">hartered </w:t>
            </w:r>
            <w:r w:rsidR="00527B0A">
              <w:t>I</w:t>
            </w:r>
            <w:r>
              <w:t xml:space="preserve">nstitute of </w:t>
            </w:r>
            <w:r w:rsidR="00527B0A">
              <w:t>P</w:t>
            </w:r>
            <w:r>
              <w:t>ublic</w:t>
            </w:r>
            <w:r w:rsidR="00527B0A">
              <w:t xml:space="preserve"> Finance and Finance </w:t>
            </w:r>
            <w:r>
              <w:t>and recruitment of graduates still outstanding. She highlighted the reduction in sickness leave during the period, although further analysis of this was underway. The Strategic Risk Register continues to go to SMT every quarter and two of these risks have reduced over the last six months.</w:t>
            </w:r>
          </w:p>
          <w:p w14:paraId="0A4B520E" w14:textId="77777777" w:rsidR="00100114" w:rsidRDefault="00100114"/>
          <w:p w14:paraId="0697A554" w14:textId="77777777" w:rsidR="00100114" w:rsidRPr="003354D6" w:rsidRDefault="003354D6">
            <w:pPr>
              <w:rPr>
                <w:b/>
              </w:rPr>
            </w:pPr>
            <w:r>
              <w:rPr>
                <w:b/>
              </w:rPr>
              <w:t>Discussion</w:t>
            </w:r>
          </w:p>
          <w:p w14:paraId="02AE2A83" w14:textId="77777777" w:rsidR="00100114" w:rsidRDefault="00100114">
            <w:r>
              <w:t xml:space="preserve">The members discussed changes in LGA membership in the last six months, including Gosport withdrawing from the LGA and councils on notice to withdraw. The Committee was assured by officers that work to continue all councils of the benefits of LGA membership was continuing, including with those on notice. Feedback suggested that generally councils were convinced of the benefits of remaining in the LGA, although the LGA was not complacent. </w:t>
            </w:r>
          </w:p>
          <w:p w14:paraId="6EA19065" w14:textId="77777777" w:rsidR="00100114" w:rsidRDefault="00100114"/>
          <w:p w14:paraId="472D645C" w14:textId="77777777" w:rsidR="00100114" w:rsidRPr="003354D6" w:rsidRDefault="003354D6">
            <w:pPr>
              <w:rPr>
                <w:b/>
              </w:rPr>
            </w:pPr>
            <w:r>
              <w:rPr>
                <w:b/>
              </w:rPr>
              <w:t>Decisions</w:t>
            </w:r>
          </w:p>
          <w:p w14:paraId="336FFCF5" w14:textId="77777777" w:rsidR="00100114" w:rsidRDefault="00100114">
            <w:r>
              <w:t xml:space="preserve">The members of the Audit Committee </w:t>
            </w:r>
            <w:r>
              <w:rPr>
                <w:b/>
              </w:rPr>
              <w:t>approved</w:t>
            </w:r>
            <w:r>
              <w:t xml:space="preserve"> the six-month performance report.</w:t>
            </w:r>
          </w:p>
          <w:p w14:paraId="6A480D2E" w14:textId="77777777" w:rsidR="00100114" w:rsidRDefault="00100114"/>
          <w:p w14:paraId="692E972B" w14:textId="77777777" w:rsidR="00100114" w:rsidRPr="003354D6" w:rsidRDefault="003354D6">
            <w:pPr>
              <w:rPr>
                <w:b/>
              </w:rPr>
            </w:pPr>
            <w:r>
              <w:rPr>
                <w:b/>
              </w:rPr>
              <w:t>Actions</w:t>
            </w:r>
          </w:p>
          <w:p w14:paraId="3B6A3752" w14:textId="77777777" w:rsidR="00100114" w:rsidRDefault="00100114">
            <w:r>
              <w:t>Members and officers to continue to take action to demonstrate the value of LGA membership.</w:t>
            </w:r>
          </w:p>
          <w:p w14:paraId="74D91170" w14:textId="77777777" w:rsidR="00100114" w:rsidRPr="002F7636" w:rsidRDefault="00100114" w:rsidP="005F7E58">
            <w:pPr>
              <w:widowControl w:val="0"/>
              <w:jc w:val="right"/>
              <w:rPr>
                <w:bCs/>
              </w:rPr>
            </w:pPr>
          </w:p>
        </w:tc>
      </w:tr>
    </w:tbl>
    <w:p w14:paraId="0EA0A9AE" w14:textId="77777777" w:rsidR="005F7E58" w:rsidRDefault="005F7E58">
      <w:pPr>
        <w:rPr>
          <w:vanish/>
        </w:rPr>
      </w:pPr>
      <w:r>
        <w:rPr>
          <w:vanish/>
        </w:rPr>
        <w:t>&lt;/AI13&gt;</w:t>
      </w:r>
    </w:p>
    <w:p w14:paraId="449A38CD" w14:textId="77777777" w:rsidR="005F7E58" w:rsidRDefault="005F7E58">
      <w:pPr>
        <w:rPr>
          <w:vanish/>
        </w:rPr>
      </w:pPr>
      <w:r>
        <w:rPr>
          <w:vanish/>
        </w:rPr>
        <w:t>&lt;AI14&gt;</w:t>
      </w:r>
    </w:p>
    <w:p w14:paraId="6B81D9FA" w14:textId="77777777" w:rsidR="005F7E58" w:rsidRDefault="005F7E58">
      <w:pPr>
        <w:rPr>
          <w:vanish/>
        </w:rPr>
      </w:pPr>
      <w:r>
        <w:rPr>
          <w:vanish/>
        </w:rPr>
        <w:t>&lt;/AI14&gt;</w:t>
      </w:r>
    </w:p>
    <w:p w14:paraId="6F942CED" w14:textId="77777777" w:rsidR="005F7E58" w:rsidRDefault="005F7E58">
      <w:pPr>
        <w:rPr>
          <w:vanish/>
        </w:rPr>
      </w:pPr>
      <w:r>
        <w:rPr>
          <w:vanish/>
        </w:rPr>
        <w:t>&lt;AI15&gt;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691A5867" w14:textId="77777777" w:rsidTr="00100114">
        <w:tc>
          <w:tcPr>
            <w:tcW w:w="720" w:type="dxa"/>
          </w:tcPr>
          <w:p w14:paraId="228C6986" w14:textId="77777777" w:rsidR="005F7E58" w:rsidRPr="006A5FCC" w:rsidRDefault="005F7E58" w:rsidP="005F7E58">
            <w:pPr>
              <w:numPr>
                <w:ilvl w:val="0"/>
                <w:numId w:val="11"/>
              </w:numPr>
              <w:ind w:left="560"/>
              <w:rPr>
                <w:szCs w:val="22"/>
              </w:rPr>
            </w:pPr>
            <w:r>
              <w:rPr>
                <w:szCs w:val="22"/>
                <w:bdr w:val="nil"/>
              </w:rPr>
              <w:t xml:space="preserve"> </w:t>
            </w:r>
          </w:p>
        </w:tc>
        <w:tc>
          <w:tcPr>
            <w:tcW w:w="7488" w:type="dxa"/>
          </w:tcPr>
          <w:p w14:paraId="7FB90308" w14:textId="77777777" w:rsidR="005F7E58" w:rsidRDefault="005F7E58" w:rsidP="005F7E58">
            <w:pPr>
              <w:widowControl w:val="0"/>
              <w:rPr>
                <w:rFonts w:ascii="Arial Bold" w:hAnsi="Arial Bold"/>
                <w:b/>
                <w:szCs w:val="22"/>
              </w:rPr>
            </w:pPr>
            <w:r>
              <w:rPr>
                <w:rFonts w:ascii="Arial Bold" w:hAnsi="Arial Bold"/>
                <w:b/>
                <w:szCs w:val="22"/>
                <w:bdr w:val="nil"/>
              </w:rPr>
              <w:t>Annual Fraud Report 2016/17</w:t>
            </w:r>
          </w:p>
          <w:p w14:paraId="77B64370" w14:textId="77777777" w:rsidR="005F7E58" w:rsidRPr="00CE3DD7" w:rsidRDefault="005F7E58" w:rsidP="005F7E58">
            <w:pPr>
              <w:widowControl w:val="0"/>
              <w:rPr>
                <w:rFonts w:ascii="Arial Bold" w:hAnsi="Arial Bold"/>
                <w:b/>
              </w:rPr>
            </w:pPr>
            <w:r w:rsidRPr="00CE3DD7">
              <w:rPr>
                <w:rFonts w:ascii="Arial Bold" w:hAnsi="Arial Bold"/>
                <w:b/>
              </w:rPr>
              <w:t xml:space="preserve"> </w:t>
            </w:r>
          </w:p>
        </w:tc>
        <w:tc>
          <w:tcPr>
            <w:tcW w:w="1584" w:type="dxa"/>
          </w:tcPr>
          <w:p w14:paraId="26461181" w14:textId="77777777" w:rsidR="005F7E58" w:rsidRPr="001E126B" w:rsidRDefault="005F7E58" w:rsidP="005F7E58">
            <w:pPr>
              <w:widowControl w:val="0"/>
              <w:rPr>
                <w:bCs/>
              </w:rPr>
            </w:pPr>
          </w:p>
        </w:tc>
      </w:tr>
      <w:tr w:rsidR="00100114" w:rsidRPr="002F7636" w14:paraId="27F1BA4D" w14:textId="77777777" w:rsidTr="00100114">
        <w:tc>
          <w:tcPr>
            <w:tcW w:w="720" w:type="dxa"/>
          </w:tcPr>
          <w:p w14:paraId="32BE5FC1" w14:textId="77777777" w:rsidR="00100114" w:rsidRDefault="00100114" w:rsidP="005F7E58"/>
        </w:tc>
        <w:tc>
          <w:tcPr>
            <w:tcW w:w="9072" w:type="dxa"/>
            <w:gridSpan w:val="2"/>
          </w:tcPr>
          <w:p w14:paraId="4C6C3E03" w14:textId="77777777" w:rsidR="00100114" w:rsidRDefault="00100114">
            <w:r>
              <w:t>Jonathan Gratte introduced the report which set out controls and the process environment under which fraud issues are identified and dealt with. In the report there was no evidence of fraud or corruption.</w:t>
            </w:r>
          </w:p>
          <w:p w14:paraId="6F93DD31" w14:textId="77777777" w:rsidR="00100114" w:rsidRDefault="00100114"/>
          <w:p w14:paraId="1699946B" w14:textId="77777777" w:rsidR="00100114" w:rsidRPr="003354D6" w:rsidRDefault="003354D6">
            <w:pPr>
              <w:rPr>
                <w:b/>
              </w:rPr>
            </w:pPr>
            <w:r>
              <w:rPr>
                <w:b/>
              </w:rPr>
              <w:t>Discussion</w:t>
            </w:r>
          </w:p>
          <w:p w14:paraId="1CDF8AD7" w14:textId="77777777" w:rsidR="00100114" w:rsidRDefault="00100114">
            <w:r>
              <w:t>The Committee discussed the high turnover of staff in the LGA and the importance of new employees being aware of the importance of fraud related policies, such as the whistleblowing policy. Jonathan Gratte as a recent new starter outlined the robust nature of the induction to the LGA, including online training prior to beginning his role.</w:t>
            </w:r>
          </w:p>
          <w:p w14:paraId="46DE15E6" w14:textId="77777777" w:rsidR="00100114" w:rsidRDefault="00100114"/>
          <w:p w14:paraId="50FAF072" w14:textId="77777777" w:rsidR="00100114" w:rsidRPr="003354D6" w:rsidRDefault="003354D6">
            <w:pPr>
              <w:rPr>
                <w:b/>
              </w:rPr>
            </w:pPr>
            <w:r>
              <w:rPr>
                <w:b/>
              </w:rPr>
              <w:t>Decision</w:t>
            </w:r>
          </w:p>
          <w:p w14:paraId="45E721BA" w14:textId="77777777" w:rsidR="00100114" w:rsidRDefault="00100114">
            <w:r>
              <w:t xml:space="preserve">Members of the Audit Committee </w:t>
            </w:r>
            <w:r>
              <w:rPr>
                <w:b/>
              </w:rPr>
              <w:t xml:space="preserve">noted </w:t>
            </w:r>
            <w:r>
              <w:t>the contents of the report.</w:t>
            </w:r>
          </w:p>
          <w:p w14:paraId="4F05AE04" w14:textId="77777777" w:rsidR="00100114" w:rsidRPr="002F7636" w:rsidRDefault="00100114" w:rsidP="005F7E58">
            <w:pPr>
              <w:widowControl w:val="0"/>
              <w:jc w:val="right"/>
              <w:rPr>
                <w:bCs/>
              </w:rPr>
            </w:pPr>
          </w:p>
        </w:tc>
      </w:tr>
    </w:tbl>
    <w:p w14:paraId="7F84F68F" w14:textId="77777777" w:rsidR="005F7E58" w:rsidRDefault="005F7E58">
      <w:pPr>
        <w:rPr>
          <w:vanish/>
        </w:rPr>
      </w:pPr>
      <w:r>
        <w:rPr>
          <w:vanish/>
        </w:rPr>
        <w:t>&lt;/AI15&gt;</w:t>
      </w:r>
    </w:p>
    <w:p w14:paraId="2AF3BCF1" w14:textId="77777777" w:rsidR="005F7E58" w:rsidRDefault="005F7E58">
      <w:pPr>
        <w:rPr>
          <w:vanish/>
        </w:rPr>
      </w:pPr>
      <w:r>
        <w:rPr>
          <w:vanish/>
        </w:rPr>
        <w:t>&lt;AI16&gt;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6B678B1A" w14:textId="77777777" w:rsidTr="00100114">
        <w:tc>
          <w:tcPr>
            <w:tcW w:w="720" w:type="dxa"/>
          </w:tcPr>
          <w:p w14:paraId="63A44017" w14:textId="77777777" w:rsidR="005F7E58" w:rsidRPr="006A5FCC" w:rsidRDefault="005F7E58" w:rsidP="005F7E58">
            <w:pPr>
              <w:numPr>
                <w:ilvl w:val="0"/>
                <w:numId w:val="12"/>
              </w:numPr>
              <w:ind w:left="560"/>
              <w:rPr>
                <w:szCs w:val="22"/>
              </w:rPr>
            </w:pPr>
            <w:r>
              <w:rPr>
                <w:szCs w:val="22"/>
                <w:bdr w:val="nil"/>
              </w:rPr>
              <w:t xml:space="preserve"> </w:t>
            </w:r>
          </w:p>
        </w:tc>
        <w:tc>
          <w:tcPr>
            <w:tcW w:w="7488" w:type="dxa"/>
          </w:tcPr>
          <w:p w14:paraId="2F3BAAB1" w14:textId="77777777" w:rsidR="005F7E58" w:rsidRDefault="005F7E58" w:rsidP="005F7E58">
            <w:pPr>
              <w:widowControl w:val="0"/>
              <w:rPr>
                <w:rFonts w:ascii="Arial Bold" w:hAnsi="Arial Bold"/>
                <w:b/>
                <w:szCs w:val="22"/>
              </w:rPr>
            </w:pPr>
            <w:r>
              <w:rPr>
                <w:rFonts w:ascii="Arial Bold" w:hAnsi="Arial Bold"/>
                <w:b/>
                <w:szCs w:val="22"/>
                <w:bdr w:val="nil"/>
              </w:rPr>
              <w:t>2017 Annual Report of the Audit Committee</w:t>
            </w:r>
          </w:p>
          <w:p w14:paraId="1F101734" w14:textId="77777777" w:rsidR="005F7E58" w:rsidRPr="00CE3DD7" w:rsidRDefault="005F7E58" w:rsidP="005F7E58">
            <w:pPr>
              <w:widowControl w:val="0"/>
              <w:rPr>
                <w:rFonts w:ascii="Arial Bold" w:hAnsi="Arial Bold"/>
                <w:b/>
              </w:rPr>
            </w:pPr>
            <w:r w:rsidRPr="00CE3DD7">
              <w:rPr>
                <w:rFonts w:ascii="Arial Bold" w:hAnsi="Arial Bold"/>
                <w:b/>
              </w:rPr>
              <w:t xml:space="preserve"> </w:t>
            </w:r>
          </w:p>
        </w:tc>
        <w:tc>
          <w:tcPr>
            <w:tcW w:w="1584" w:type="dxa"/>
          </w:tcPr>
          <w:p w14:paraId="4756E3A2" w14:textId="77777777" w:rsidR="005F7E58" w:rsidRPr="001E126B" w:rsidRDefault="005F7E58" w:rsidP="005F7E58">
            <w:pPr>
              <w:widowControl w:val="0"/>
              <w:rPr>
                <w:bCs/>
              </w:rPr>
            </w:pPr>
          </w:p>
        </w:tc>
      </w:tr>
      <w:tr w:rsidR="00100114" w:rsidRPr="002F7636" w14:paraId="0792FED1" w14:textId="77777777" w:rsidTr="00100114">
        <w:tc>
          <w:tcPr>
            <w:tcW w:w="720" w:type="dxa"/>
          </w:tcPr>
          <w:p w14:paraId="7E5048B2" w14:textId="77777777" w:rsidR="00100114" w:rsidRDefault="00100114" w:rsidP="005F7E58"/>
        </w:tc>
        <w:tc>
          <w:tcPr>
            <w:tcW w:w="9072" w:type="dxa"/>
            <w:gridSpan w:val="2"/>
          </w:tcPr>
          <w:p w14:paraId="6901D65D" w14:textId="77777777" w:rsidR="00100114" w:rsidRDefault="00100114">
            <w:r>
              <w:t>Donna Gallagher introduced the draft report due to go to LGA Leadership Board and Executive on 15 June and onto G</w:t>
            </w:r>
            <w:r w:rsidR="003354D6">
              <w:t>eneral Assembly on 5 July 2017.</w:t>
            </w:r>
          </w:p>
          <w:p w14:paraId="068997D0" w14:textId="77777777" w:rsidR="00100114" w:rsidRDefault="00100114"/>
          <w:p w14:paraId="6791BADC" w14:textId="77777777" w:rsidR="00B47B55" w:rsidRDefault="00B47B55"/>
          <w:p w14:paraId="5CBA81E1" w14:textId="77777777" w:rsidR="00B47B55" w:rsidRDefault="00B47B55"/>
          <w:p w14:paraId="7A158D85" w14:textId="77777777" w:rsidR="00100114" w:rsidRDefault="00100114">
            <w:pPr>
              <w:rPr>
                <w:b/>
              </w:rPr>
            </w:pPr>
            <w:r>
              <w:rPr>
                <w:b/>
              </w:rPr>
              <w:t>Decision</w:t>
            </w:r>
          </w:p>
          <w:p w14:paraId="27E32007" w14:textId="77777777" w:rsidR="00100114" w:rsidRDefault="00100114"/>
          <w:p w14:paraId="4F5077FF" w14:textId="77777777" w:rsidR="00100114" w:rsidRDefault="00100114">
            <w:r>
              <w:t xml:space="preserve">The Audit Committee </w:t>
            </w:r>
            <w:r>
              <w:rPr>
                <w:b/>
              </w:rPr>
              <w:t>agreed</w:t>
            </w:r>
            <w:r>
              <w:t xml:space="preserve"> the annual report to be presented to the LGA Leadership Board, Executive and the General Assembly.</w:t>
            </w:r>
          </w:p>
          <w:p w14:paraId="5D18481A" w14:textId="77777777" w:rsidR="00100114" w:rsidRPr="002F7636" w:rsidRDefault="00100114" w:rsidP="005F7E58">
            <w:pPr>
              <w:widowControl w:val="0"/>
              <w:jc w:val="right"/>
              <w:rPr>
                <w:bCs/>
              </w:rPr>
            </w:pPr>
          </w:p>
        </w:tc>
      </w:tr>
    </w:tbl>
    <w:p w14:paraId="2D464496" w14:textId="77777777" w:rsidR="005F7E58" w:rsidRDefault="005F7E58">
      <w:pPr>
        <w:rPr>
          <w:vanish/>
        </w:rPr>
      </w:pPr>
      <w:r>
        <w:rPr>
          <w:vanish/>
        </w:rPr>
        <w:lastRenderedPageBreak/>
        <w:t>&lt;/AI16&gt;</w:t>
      </w:r>
    </w:p>
    <w:p w14:paraId="7BC1EBDB" w14:textId="77777777" w:rsidR="005F7E58" w:rsidRDefault="005F7E58">
      <w:pPr>
        <w:rPr>
          <w:vanish/>
        </w:rPr>
      </w:pPr>
      <w:r>
        <w:rPr>
          <w:vanish/>
        </w:rPr>
        <w:t>&lt;AI17&gt;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3BB52765" w14:textId="77777777" w:rsidTr="00100114">
        <w:tc>
          <w:tcPr>
            <w:tcW w:w="720" w:type="dxa"/>
          </w:tcPr>
          <w:p w14:paraId="598227B1" w14:textId="77777777" w:rsidR="005F7E58" w:rsidRPr="006A5FCC" w:rsidRDefault="005F7E58" w:rsidP="005F7E58">
            <w:pPr>
              <w:numPr>
                <w:ilvl w:val="0"/>
                <w:numId w:val="13"/>
              </w:numPr>
              <w:ind w:left="560"/>
              <w:rPr>
                <w:szCs w:val="22"/>
              </w:rPr>
            </w:pPr>
            <w:r>
              <w:rPr>
                <w:szCs w:val="22"/>
                <w:bdr w:val="nil"/>
              </w:rPr>
              <w:t xml:space="preserve"> </w:t>
            </w:r>
          </w:p>
        </w:tc>
        <w:tc>
          <w:tcPr>
            <w:tcW w:w="7488" w:type="dxa"/>
          </w:tcPr>
          <w:p w14:paraId="7139AA4F" w14:textId="77777777" w:rsidR="005F7E58" w:rsidRDefault="005F7E58" w:rsidP="005F7E58">
            <w:pPr>
              <w:widowControl w:val="0"/>
              <w:rPr>
                <w:rFonts w:ascii="Arial Bold" w:hAnsi="Arial Bold"/>
                <w:b/>
                <w:szCs w:val="22"/>
              </w:rPr>
            </w:pPr>
            <w:r>
              <w:rPr>
                <w:rFonts w:ascii="Arial Bold" w:hAnsi="Arial Bold"/>
                <w:b/>
                <w:szCs w:val="22"/>
                <w:bdr w:val="nil"/>
              </w:rPr>
              <w:t>Note of last meeting 28 November 2016</w:t>
            </w:r>
          </w:p>
          <w:p w14:paraId="4C477FF3" w14:textId="77777777" w:rsidR="005F7E58" w:rsidRPr="00CE3DD7" w:rsidRDefault="005F7E58" w:rsidP="005F7E58">
            <w:pPr>
              <w:widowControl w:val="0"/>
              <w:rPr>
                <w:rFonts w:ascii="Arial Bold" w:hAnsi="Arial Bold"/>
                <w:b/>
              </w:rPr>
            </w:pPr>
            <w:r w:rsidRPr="00CE3DD7">
              <w:rPr>
                <w:rFonts w:ascii="Arial Bold" w:hAnsi="Arial Bold"/>
                <w:b/>
              </w:rPr>
              <w:t xml:space="preserve"> </w:t>
            </w:r>
          </w:p>
        </w:tc>
        <w:tc>
          <w:tcPr>
            <w:tcW w:w="1584" w:type="dxa"/>
          </w:tcPr>
          <w:p w14:paraId="6E0472CD" w14:textId="77777777" w:rsidR="005F7E58" w:rsidRPr="001E126B" w:rsidRDefault="005F7E58" w:rsidP="005F7E58">
            <w:pPr>
              <w:widowControl w:val="0"/>
              <w:rPr>
                <w:bCs/>
              </w:rPr>
            </w:pPr>
          </w:p>
        </w:tc>
      </w:tr>
      <w:tr w:rsidR="00100114" w:rsidRPr="002F7636" w14:paraId="6778CAAF" w14:textId="77777777" w:rsidTr="00100114">
        <w:tc>
          <w:tcPr>
            <w:tcW w:w="720" w:type="dxa"/>
          </w:tcPr>
          <w:p w14:paraId="2FB53086" w14:textId="77777777" w:rsidR="00100114" w:rsidRDefault="00100114" w:rsidP="005F7E58"/>
        </w:tc>
        <w:tc>
          <w:tcPr>
            <w:tcW w:w="9072" w:type="dxa"/>
            <w:gridSpan w:val="2"/>
          </w:tcPr>
          <w:p w14:paraId="55134E8F" w14:textId="77777777" w:rsidR="00100114" w:rsidRDefault="00100114">
            <w:r>
              <w:t xml:space="preserve">Audit Committee members </w:t>
            </w:r>
            <w:r>
              <w:rPr>
                <w:b/>
              </w:rPr>
              <w:t>approved</w:t>
            </w:r>
            <w:r>
              <w:t xml:space="preserve"> the minutes of the previous Audit Committee meeting on 28 November 2016.</w:t>
            </w:r>
          </w:p>
          <w:p w14:paraId="60B9A188" w14:textId="77777777" w:rsidR="00100114" w:rsidRDefault="00100114"/>
          <w:p w14:paraId="4C76D997" w14:textId="77777777" w:rsidR="00100114" w:rsidRDefault="00100114">
            <w:r>
              <w:t>The Audit Committee members also offered their thanks to both the internal and external auditors for their work in this matter.</w:t>
            </w:r>
          </w:p>
          <w:p w14:paraId="06864103" w14:textId="77777777" w:rsidR="00100114" w:rsidRPr="002F7636" w:rsidRDefault="00100114" w:rsidP="005F7E58">
            <w:pPr>
              <w:widowControl w:val="0"/>
              <w:jc w:val="right"/>
              <w:rPr>
                <w:bCs/>
              </w:rPr>
            </w:pPr>
          </w:p>
        </w:tc>
      </w:tr>
    </w:tbl>
    <w:p w14:paraId="20047710" w14:textId="77777777" w:rsidR="00100114" w:rsidRDefault="00100114"/>
    <w:p w14:paraId="66587255" w14:textId="77777777" w:rsidR="00100114" w:rsidRDefault="00100114"/>
    <w:p w14:paraId="6A2718B1" w14:textId="77777777" w:rsidR="00100114" w:rsidRDefault="00100114"/>
    <w:p w14:paraId="78EB3B21" w14:textId="77777777" w:rsidR="005F7E58" w:rsidRDefault="005F7E58">
      <w:pPr>
        <w:rPr>
          <w:vanish/>
        </w:rPr>
      </w:pPr>
      <w:r>
        <w:rPr>
          <w:vanish/>
        </w:rPr>
        <w:t>&lt;/AI17&gt;</w:t>
      </w:r>
    </w:p>
    <w:p w14:paraId="7348525A" w14:textId="77777777" w:rsidR="005F7E58" w:rsidRDefault="005F7E58">
      <w:pPr>
        <w:rPr>
          <w:vanish/>
        </w:rPr>
      </w:pPr>
      <w:r>
        <w:rPr>
          <w:vanish/>
        </w:rPr>
        <w:t>&lt;TRAILER_SECTION&gt;</w:t>
      </w:r>
    </w:p>
    <w:p w14:paraId="388C4028" w14:textId="77777777" w:rsidR="005F7E58" w:rsidRDefault="005F7E58"/>
    <w:p w14:paraId="778602F0" w14:textId="77777777" w:rsidR="005F7E58" w:rsidRPr="001F2D91" w:rsidRDefault="005F7E58" w:rsidP="005F7E58">
      <w:pPr>
        <w:ind w:left="-720"/>
        <w:rPr>
          <w:b/>
          <w:u w:val="single"/>
        </w:rPr>
      </w:pPr>
      <w:r w:rsidRPr="001F2D91">
        <w:rPr>
          <w:b/>
          <w:u w:val="single"/>
        </w:rPr>
        <w:t xml:space="preserve">Appendix A -Attendance </w:t>
      </w:r>
    </w:p>
    <w:p w14:paraId="6B2BAB2B" w14:textId="77777777" w:rsidR="005F7E58" w:rsidRDefault="005F7E58" w:rsidP="005F7E58"/>
    <w:tbl>
      <w:tblPr>
        <w:tblW w:w="9510" w:type="dxa"/>
        <w:tblInd w:w="-720" w:type="dxa"/>
        <w:tblLayout w:type="fixed"/>
        <w:tblLook w:val="04A0" w:firstRow="1" w:lastRow="0" w:firstColumn="1" w:lastColumn="0" w:noHBand="0" w:noVBand="1"/>
      </w:tblPr>
      <w:tblGrid>
        <w:gridCol w:w="2100"/>
        <w:gridCol w:w="2798"/>
        <w:gridCol w:w="4612"/>
      </w:tblGrid>
      <w:tr w:rsidR="00100114" w14:paraId="39FFF39A" w14:textId="77777777" w:rsidTr="00100114">
        <w:tc>
          <w:tcPr>
            <w:tcW w:w="2160" w:type="dxa"/>
            <w:shd w:val="clear" w:color="auto" w:fill="BFBFBF"/>
            <w:hideMark/>
          </w:tcPr>
          <w:p w14:paraId="055285BD" w14:textId="77777777" w:rsidR="00100114" w:rsidRDefault="00100114">
            <w:pPr>
              <w:jc w:val="both"/>
            </w:pPr>
            <w:r>
              <w:t>Position/Role</w:t>
            </w:r>
          </w:p>
        </w:tc>
        <w:tc>
          <w:tcPr>
            <w:tcW w:w="2880" w:type="dxa"/>
            <w:shd w:val="clear" w:color="auto" w:fill="BFBFBF"/>
            <w:hideMark/>
          </w:tcPr>
          <w:p w14:paraId="49E1538A" w14:textId="77777777" w:rsidR="00100114" w:rsidRDefault="00100114">
            <w:pPr>
              <w:jc w:val="both"/>
            </w:pPr>
            <w:r>
              <w:t>Councillor</w:t>
            </w:r>
          </w:p>
        </w:tc>
        <w:tc>
          <w:tcPr>
            <w:tcW w:w="4752" w:type="dxa"/>
            <w:shd w:val="clear" w:color="auto" w:fill="BFBFBF"/>
            <w:hideMark/>
          </w:tcPr>
          <w:p w14:paraId="644EB198" w14:textId="77777777" w:rsidR="00100114" w:rsidRDefault="00100114">
            <w:pPr>
              <w:jc w:val="both"/>
            </w:pPr>
            <w:r>
              <w:t>Authority</w:t>
            </w:r>
          </w:p>
        </w:tc>
      </w:tr>
      <w:tr w:rsidR="00100114" w14:paraId="0EEBF341" w14:textId="77777777" w:rsidTr="00100114">
        <w:tc>
          <w:tcPr>
            <w:tcW w:w="2160" w:type="dxa"/>
          </w:tcPr>
          <w:p w14:paraId="2B313D8D" w14:textId="77777777" w:rsidR="00100114" w:rsidRDefault="00100114">
            <w:pPr>
              <w:jc w:val="both"/>
            </w:pPr>
          </w:p>
        </w:tc>
        <w:tc>
          <w:tcPr>
            <w:tcW w:w="2880" w:type="dxa"/>
          </w:tcPr>
          <w:p w14:paraId="1B132590" w14:textId="77777777" w:rsidR="00100114" w:rsidRDefault="00100114">
            <w:pPr>
              <w:jc w:val="both"/>
            </w:pPr>
          </w:p>
        </w:tc>
        <w:tc>
          <w:tcPr>
            <w:tcW w:w="4752" w:type="dxa"/>
          </w:tcPr>
          <w:p w14:paraId="4894C8E6" w14:textId="77777777" w:rsidR="00100114" w:rsidRDefault="00100114">
            <w:pPr>
              <w:jc w:val="both"/>
            </w:pPr>
          </w:p>
        </w:tc>
      </w:tr>
      <w:tr w:rsidR="00100114" w14:paraId="77ED910B" w14:textId="77777777" w:rsidTr="00100114">
        <w:tc>
          <w:tcPr>
            <w:tcW w:w="2160" w:type="dxa"/>
            <w:hideMark/>
          </w:tcPr>
          <w:p w14:paraId="0CDFB3F9" w14:textId="77777777" w:rsidR="00100114" w:rsidRDefault="00100114">
            <w:pPr>
              <w:jc w:val="both"/>
            </w:pPr>
            <w:r>
              <w:t>Chairman</w:t>
            </w:r>
          </w:p>
        </w:tc>
        <w:tc>
          <w:tcPr>
            <w:tcW w:w="2880" w:type="dxa"/>
            <w:hideMark/>
          </w:tcPr>
          <w:p w14:paraId="7D080323" w14:textId="77777777" w:rsidR="00100114" w:rsidRDefault="00100114">
            <w:pPr>
              <w:jc w:val="both"/>
              <w:rPr>
                <w:vanish/>
              </w:rPr>
            </w:pPr>
            <w:r>
              <w:rPr>
                <w:vanish/>
              </w:rPr>
              <w:fldChar w:fldCharType="begin"/>
            </w:r>
            <w:r>
              <w:rPr>
                <w:vanish/>
              </w:rPr>
              <w:instrText xml:space="preserve">DOCVARIABLE "ChairPresentRepresentingCells"  \* MERGEFORMAT </w:instrText>
            </w:r>
            <w:r>
              <w:rPr>
                <w:vanish/>
              </w:rPr>
              <w:fldChar w:fldCharType="separate"/>
            </w:r>
            <w:r>
              <w:rPr>
                <w:vanish/>
              </w:rPr>
              <w:t xml:space="preserve"> </w:t>
            </w:r>
            <w:r>
              <w:rPr>
                <w:vanish/>
              </w:rPr>
              <w:fldChar w:fldCharType="end"/>
            </w:r>
            <w:r>
              <w:t>Cllr Jonathan Owen</w:t>
            </w:r>
          </w:p>
        </w:tc>
        <w:tc>
          <w:tcPr>
            <w:tcW w:w="4752" w:type="dxa"/>
            <w:hideMark/>
          </w:tcPr>
          <w:p w14:paraId="376D51F2" w14:textId="77777777" w:rsidR="00100114" w:rsidRDefault="00100114">
            <w:pPr>
              <w:jc w:val="both"/>
            </w:pPr>
            <w:r>
              <w:t>East Riding of Yorkshire Council</w:t>
            </w:r>
          </w:p>
        </w:tc>
      </w:tr>
    </w:tbl>
    <w:p w14:paraId="6FE254EB" w14:textId="77777777" w:rsidR="00100114" w:rsidRDefault="00100114" w:rsidP="00100114">
      <w:pPr>
        <w:rPr>
          <w:vanish/>
        </w:rPr>
      </w:pPr>
    </w:p>
    <w:tbl>
      <w:tblPr>
        <w:tblW w:w="9510" w:type="dxa"/>
        <w:tblInd w:w="-720" w:type="dxa"/>
        <w:tblLayout w:type="fixed"/>
        <w:tblLook w:val="04A0" w:firstRow="1" w:lastRow="0" w:firstColumn="1" w:lastColumn="0" w:noHBand="0" w:noVBand="1"/>
      </w:tblPr>
      <w:tblGrid>
        <w:gridCol w:w="2100"/>
        <w:gridCol w:w="2798"/>
        <w:gridCol w:w="4612"/>
      </w:tblGrid>
      <w:tr w:rsidR="00100114" w14:paraId="5CC6241E" w14:textId="77777777" w:rsidTr="00100114">
        <w:tc>
          <w:tcPr>
            <w:tcW w:w="2160" w:type="dxa"/>
            <w:hideMark/>
          </w:tcPr>
          <w:p w14:paraId="58E0BA60" w14:textId="77777777" w:rsidR="00100114" w:rsidRDefault="00100114">
            <w:pPr>
              <w:jc w:val="both"/>
            </w:pPr>
            <w:r>
              <w:t>Vice-Chairman</w:t>
            </w:r>
          </w:p>
        </w:tc>
        <w:tc>
          <w:tcPr>
            <w:tcW w:w="2880" w:type="dxa"/>
            <w:hideMark/>
          </w:tcPr>
          <w:p w14:paraId="405ACA38" w14:textId="77777777" w:rsidR="00100114" w:rsidRDefault="00100114">
            <w:pPr>
              <w:jc w:val="both"/>
              <w:rPr>
                <w:vanish/>
              </w:rPr>
            </w:pPr>
            <w:r>
              <w:rPr>
                <w:vanish/>
              </w:rPr>
              <w:fldChar w:fldCharType="begin"/>
            </w:r>
            <w:r>
              <w:rPr>
                <w:vanish/>
              </w:rPr>
              <w:instrText xml:space="preserve">DOCVARIABLE "ViceChPresentRepresentingCells"  \* MERGEFORMAT </w:instrText>
            </w:r>
            <w:r>
              <w:rPr>
                <w:vanish/>
              </w:rPr>
              <w:fldChar w:fldCharType="separate"/>
            </w:r>
            <w:r>
              <w:rPr>
                <w:vanish/>
              </w:rPr>
              <w:t xml:space="preserve"> </w:t>
            </w:r>
            <w:r>
              <w:rPr>
                <w:vanish/>
              </w:rPr>
              <w:fldChar w:fldCharType="end"/>
            </w:r>
            <w:r>
              <w:t>Cllr Ian Swithenbank CBE</w:t>
            </w:r>
          </w:p>
        </w:tc>
        <w:tc>
          <w:tcPr>
            <w:tcW w:w="4752" w:type="dxa"/>
            <w:hideMark/>
          </w:tcPr>
          <w:p w14:paraId="760C9BE9" w14:textId="77777777" w:rsidR="00100114" w:rsidRDefault="00100114">
            <w:pPr>
              <w:jc w:val="both"/>
            </w:pPr>
            <w:r>
              <w:t>Northumberland Council</w:t>
            </w:r>
          </w:p>
        </w:tc>
      </w:tr>
    </w:tbl>
    <w:p w14:paraId="38647116" w14:textId="77777777" w:rsidR="00100114" w:rsidRDefault="00100114" w:rsidP="00100114">
      <w:pPr>
        <w:rPr>
          <w:vanish/>
        </w:rPr>
      </w:pPr>
    </w:p>
    <w:tbl>
      <w:tblPr>
        <w:tblW w:w="9510" w:type="dxa"/>
        <w:tblInd w:w="-720" w:type="dxa"/>
        <w:tblLayout w:type="fixed"/>
        <w:tblLook w:val="04A0" w:firstRow="1" w:lastRow="0" w:firstColumn="1" w:lastColumn="0" w:noHBand="0" w:noVBand="1"/>
      </w:tblPr>
      <w:tblGrid>
        <w:gridCol w:w="2100"/>
        <w:gridCol w:w="2798"/>
        <w:gridCol w:w="4612"/>
      </w:tblGrid>
      <w:tr w:rsidR="00100114" w14:paraId="40A1F9C5" w14:textId="77777777" w:rsidTr="00100114">
        <w:tc>
          <w:tcPr>
            <w:tcW w:w="2160" w:type="dxa"/>
            <w:hideMark/>
          </w:tcPr>
          <w:p w14:paraId="005318D6" w14:textId="77777777" w:rsidR="00100114" w:rsidRDefault="00100114">
            <w:pPr>
              <w:jc w:val="both"/>
            </w:pPr>
            <w:r>
              <w:t>Deputy-chairman</w:t>
            </w:r>
          </w:p>
        </w:tc>
        <w:tc>
          <w:tcPr>
            <w:tcW w:w="2880" w:type="dxa"/>
            <w:hideMark/>
          </w:tcPr>
          <w:p w14:paraId="0EEC73EE" w14:textId="77777777" w:rsidR="00100114" w:rsidRDefault="00100114">
            <w:pPr>
              <w:jc w:val="both"/>
              <w:rPr>
                <w:vanish/>
              </w:rPr>
            </w:pPr>
            <w:r>
              <w:rPr>
                <w:vanish/>
              </w:rPr>
              <w:fldChar w:fldCharType="begin"/>
            </w:r>
            <w:r>
              <w:rPr>
                <w:vanish/>
              </w:rPr>
              <w:instrText xml:space="preserve">DOCVARIABLE "DepChPresentRepresentingCells"  \* MERGEFORMAT </w:instrText>
            </w:r>
            <w:r>
              <w:rPr>
                <w:vanish/>
              </w:rPr>
              <w:fldChar w:fldCharType="separate"/>
            </w:r>
            <w:r>
              <w:rPr>
                <w:vanish/>
              </w:rPr>
              <w:t xml:space="preserve"> </w:t>
            </w:r>
            <w:r>
              <w:rPr>
                <w:vanish/>
              </w:rPr>
              <w:fldChar w:fldCharType="end"/>
            </w:r>
            <w:r>
              <w:t>Cllr Philip Evans JP</w:t>
            </w:r>
          </w:p>
        </w:tc>
        <w:tc>
          <w:tcPr>
            <w:tcW w:w="4752" w:type="dxa"/>
            <w:hideMark/>
          </w:tcPr>
          <w:p w14:paraId="20282F0E" w14:textId="77777777" w:rsidR="00100114" w:rsidRDefault="00100114">
            <w:pPr>
              <w:jc w:val="both"/>
            </w:pPr>
            <w:r>
              <w:t>Conwy County Borough Council</w:t>
            </w:r>
          </w:p>
        </w:tc>
      </w:tr>
      <w:tr w:rsidR="00100114" w14:paraId="2E80149E" w14:textId="77777777" w:rsidTr="00100114">
        <w:tc>
          <w:tcPr>
            <w:tcW w:w="2160" w:type="dxa"/>
            <w:hideMark/>
          </w:tcPr>
          <w:p w14:paraId="20F7C3C6" w14:textId="77777777" w:rsidR="00100114" w:rsidRDefault="00100114">
            <w:r>
              <w:t>Member</w:t>
            </w:r>
          </w:p>
        </w:tc>
        <w:tc>
          <w:tcPr>
            <w:tcW w:w="2880" w:type="dxa"/>
            <w:hideMark/>
          </w:tcPr>
          <w:p w14:paraId="5C1E4829" w14:textId="77777777" w:rsidR="00100114" w:rsidRDefault="00100114">
            <w:pPr>
              <w:jc w:val="both"/>
            </w:pPr>
            <w:r>
              <w:t>Cllr David Neighbour</w:t>
            </w:r>
          </w:p>
        </w:tc>
        <w:tc>
          <w:tcPr>
            <w:tcW w:w="4752" w:type="dxa"/>
            <w:hideMark/>
          </w:tcPr>
          <w:p w14:paraId="10C346CE" w14:textId="77777777" w:rsidR="00100114" w:rsidRDefault="00100114">
            <w:pPr>
              <w:jc w:val="both"/>
            </w:pPr>
            <w:r>
              <w:t>Hart District Council</w:t>
            </w:r>
          </w:p>
        </w:tc>
      </w:tr>
    </w:tbl>
    <w:p w14:paraId="02A3CBB1" w14:textId="77777777" w:rsidR="00100114" w:rsidRDefault="00100114" w:rsidP="00100114"/>
    <w:tbl>
      <w:tblPr>
        <w:tblW w:w="9510" w:type="dxa"/>
        <w:tblInd w:w="-720" w:type="dxa"/>
        <w:tblLayout w:type="fixed"/>
        <w:tblLook w:val="04A0" w:firstRow="1" w:lastRow="0" w:firstColumn="1" w:lastColumn="0" w:noHBand="0" w:noVBand="1"/>
      </w:tblPr>
      <w:tblGrid>
        <w:gridCol w:w="2100"/>
        <w:gridCol w:w="2798"/>
        <w:gridCol w:w="4612"/>
      </w:tblGrid>
      <w:tr w:rsidR="00100114" w14:paraId="3A8DACDA" w14:textId="77777777" w:rsidTr="00100114">
        <w:tc>
          <w:tcPr>
            <w:tcW w:w="2099" w:type="dxa"/>
            <w:hideMark/>
          </w:tcPr>
          <w:p w14:paraId="60C9F40E" w14:textId="77777777" w:rsidR="00100114" w:rsidRDefault="00100114">
            <w:pPr>
              <w:jc w:val="both"/>
            </w:pPr>
            <w:r>
              <w:t>In Attendance</w:t>
            </w:r>
          </w:p>
        </w:tc>
        <w:tc>
          <w:tcPr>
            <w:tcW w:w="2796" w:type="dxa"/>
            <w:hideMark/>
          </w:tcPr>
          <w:p w14:paraId="3EA4A41D" w14:textId="77777777" w:rsidR="00100114" w:rsidRDefault="00100114">
            <w:pPr>
              <w:jc w:val="both"/>
            </w:pPr>
            <w:r>
              <w:t>Ashley Norman</w:t>
            </w:r>
          </w:p>
          <w:p w14:paraId="4D38D403" w14:textId="77777777" w:rsidR="00100114" w:rsidRDefault="00100114">
            <w:pPr>
              <w:jc w:val="both"/>
            </w:pPr>
            <w:r>
              <w:t>Alistair Duke</w:t>
            </w:r>
          </w:p>
          <w:p w14:paraId="182A4B03" w14:textId="77777777" w:rsidR="00100114" w:rsidRDefault="00100114">
            <w:pPr>
              <w:jc w:val="both"/>
              <w:rPr>
                <w:vanish/>
              </w:rPr>
            </w:pPr>
            <w:r>
              <w:t>Nicky Whitehead</w:t>
            </w:r>
            <w:r>
              <w:rPr>
                <w:vanish/>
              </w:rPr>
              <w:t xml:space="preserve"> </w:t>
            </w:r>
          </w:p>
        </w:tc>
        <w:tc>
          <w:tcPr>
            <w:tcW w:w="4609" w:type="dxa"/>
            <w:hideMark/>
          </w:tcPr>
          <w:p w14:paraId="298C765A" w14:textId="77777777" w:rsidR="00100114" w:rsidRDefault="00100114">
            <w:pPr>
              <w:jc w:val="both"/>
            </w:pPr>
            <w:r>
              <w:t>TIAA</w:t>
            </w:r>
          </w:p>
          <w:p w14:paraId="0CA52062" w14:textId="77777777" w:rsidR="00100114" w:rsidRDefault="00100114">
            <w:pPr>
              <w:jc w:val="both"/>
            </w:pPr>
            <w:r>
              <w:t>PFK Littlejohn LLP</w:t>
            </w:r>
          </w:p>
          <w:p w14:paraId="35D8003B" w14:textId="77777777" w:rsidR="00100114" w:rsidRDefault="00100114">
            <w:pPr>
              <w:jc w:val="both"/>
            </w:pPr>
            <w:r>
              <w:t>PFK Littlejohn LLP</w:t>
            </w:r>
          </w:p>
        </w:tc>
      </w:tr>
    </w:tbl>
    <w:p w14:paraId="682D03BB" w14:textId="77777777" w:rsidR="00100114" w:rsidRDefault="00100114" w:rsidP="00100114"/>
    <w:tbl>
      <w:tblPr>
        <w:tblW w:w="9510" w:type="dxa"/>
        <w:tblInd w:w="-720" w:type="dxa"/>
        <w:tblLayout w:type="fixed"/>
        <w:tblLook w:val="04A0" w:firstRow="1" w:lastRow="0" w:firstColumn="1" w:lastColumn="0" w:noHBand="0" w:noVBand="1"/>
      </w:tblPr>
      <w:tblGrid>
        <w:gridCol w:w="2100"/>
        <w:gridCol w:w="2798"/>
        <w:gridCol w:w="4612"/>
      </w:tblGrid>
      <w:tr w:rsidR="00100114" w14:paraId="72698412" w14:textId="77777777" w:rsidTr="00100114">
        <w:tc>
          <w:tcPr>
            <w:tcW w:w="2160" w:type="dxa"/>
            <w:hideMark/>
          </w:tcPr>
          <w:p w14:paraId="21F5034A" w14:textId="77777777" w:rsidR="00100114" w:rsidRDefault="00100114">
            <w:pPr>
              <w:jc w:val="both"/>
            </w:pPr>
            <w:r>
              <w:t>LGA Officers</w:t>
            </w:r>
          </w:p>
        </w:tc>
        <w:tc>
          <w:tcPr>
            <w:tcW w:w="2880" w:type="dxa"/>
            <w:hideMark/>
          </w:tcPr>
          <w:p w14:paraId="4F8BE601" w14:textId="77777777" w:rsidR="00100114" w:rsidRDefault="00100114">
            <w:pPr>
              <w:jc w:val="both"/>
            </w:pPr>
            <w:r>
              <w:t>Sarah Pickup</w:t>
            </w:r>
          </w:p>
          <w:p w14:paraId="45039013" w14:textId="77777777" w:rsidR="00100114" w:rsidRDefault="00100114">
            <w:pPr>
              <w:jc w:val="both"/>
            </w:pPr>
            <w:r>
              <w:t>Jonathan Gratte</w:t>
            </w:r>
          </w:p>
          <w:p w14:paraId="34BB0F55" w14:textId="77777777" w:rsidR="00100114" w:rsidRDefault="00100114">
            <w:pPr>
              <w:jc w:val="both"/>
            </w:pPr>
            <w:r>
              <w:t>Donna Gallagher</w:t>
            </w:r>
          </w:p>
          <w:p w14:paraId="0747EEF9" w14:textId="77777777" w:rsidR="00100114" w:rsidRDefault="00100114">
            <w:pPr>
              <w:jc w:val="both"/>
              <w:rPr>
                <w:vanish/>
              </w:rPr>
            </w:pPr>
            <w:r>
              <w:t>Jess Norman</w:t>
            </w:r>
            <w:r>
              <w:rPr>
                <w:vanish/>
              </w:rPr>
              <w:t>Donna Gallagher</w:t>
            </w:r>
          </w:p>
          <w:p w14:paraId="6DA777AF" w14:textId="77777777" w:rsidR="00100114" w:rsidRDefault="00100114">
            <w:pPr>
              <w:jc w:val="both"/>
              <w:rPr>
                <w:vanish/>
              </w:rPr>
            </w:pPr>
            <w:r>
              <w:rPr>
                <w:vanish/>
              </w:rPr>
              <w:t>Jess Norman</w:t>
            </w:r>
          </w:p>
        </w:tc>
        <w:tc>
          <w:tcPr>
            <w:tcW w:w="4752" w:type="dxa"/>
            <w:hideMark/>
          </w:tcPr>
          <w:p w14:paraId="4CA75B60" w14:textId="77777777" w:rsidR="00100114" w:rsidRDefault="00100114">
            <w:pPr>
              <w:jc w:val="both"/>
            </w:pPr>
            <w:r>
              <w:t>Deputy Chief Executive, LGA</w:t>
            </w:r>
          </w:p>
          <w:p w14:paraId="4B6953CE" w14:textId="77777777" w:rsidR="00100114" w:rsidRDefault="00100114">
            <w:pPr>
              <w:jc w:val="both"/>
            </w:pPr>
            <w:r>
              <w:t>Strategic Finance Director, LGA</w:t>
            </w:r>
          </w:p>
          <w:p w14:paraId="22C0EF30" w14:textId="77777777" w:rsidR="00100114" w:rsidRDefault="00100114">
            <w:pPr>
              <w:jc w:val="both"/>
            </w:pPr>
            <w:r>
              <w:t>Performance Officer, LGA</w:t>
            </w:r>
          </w:p>
          <w:p w14:paraId="5EA4C6BF" w14:textId="77777777" w:rsidR="00100114" w:rsidRDefault="00100114">
            <w:pPr>
              <w:jc w:val="both"/>
            </w:pPr>
            <w:r>
              <w:t>Member Services Officer, LGA</w:t>
            </w:r>
          </w:p>
        </w:tc>
      </w:tr>
    </w:tbl>
    <w:p w14:paraId="54FC9BF3" w14:textId="77777777" w:rsidR="005F7E58" w:rsidRDefault="005F7E58" w:rsidP="005F7E58"/>
    <w:p w14:paraId="79F7AB64" w14:textId="77777777" w:rsidR="005F7E58" w:rsidRDefault="005F7E58">
      <w:pPr>
        <w:rPr>
          <w:vanish/>
        </w:rPr>
      </w:pPr>
      <w:r>
        <w:rPr>
          <w:vanish/>
        </w:rPr>
        <w:t>&lt;/TRAILER_SECTION&gt;</w:t>
      </w:r>
    </w:p>
    <w:p w14:paraId="2D770DAC" w14:textId="77777777" w:rsidR="005F7E58" w:rsidRDefault="005F7E58" w:rsidP="005F7E58">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66A686D3" w14:textId="77777777" w:rsidTr="005F7E58">
        <w:trPr>
          <w:hidden/>
        </w:trPr>
        <w:tc>
          <w:tcPr>
            <w:tcW w:w="720" w:type="dxa"/>
          </w:tcPr>
          <w:p w14:paraId="4B543A27" w14:textId="77777777" w:rsidR="005F7E58" w:rsidRPr="006A5FCC" w:rsidRDefault="005F7E58" w:rsidP="005F7E58">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7947CC9F" w14:textId="77777777" w:rsidR="005F7E58" w:rsidRDefault="005F7E58" w:rsidP="005F7E58">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5281E386" w14:textId="77777777" w:rsidR="005F7E58" w:rsidRPr="00CE3DD7" w:rsidRDefault="005F7E58" w:rsidP="005F7E58">
            <w:pPr>
              <w:widowControl w:val="0"/>
              <w:rPr>
                <w:rFonts w:ascii="Arial Bold" w:hAnsi="Arial Bold"/>
                <w:b/>
                <w:vanish/>
              </w:rPr>
            </w:pPr>
            <w:r w:rsidRPr="00CE3DD7">
              <w:rPr>
                <w:rFonts w:ascii="Arial Bold" w:hAnsi="Arial Bold"/>
                <w:b/>
                <w:vanish/>
              </w:rPr>
              <w:t xml:space="preserve"> </w:t>
            </w:r>
          </w:p>
        </w:tc>
        <w:tc>
          <w:tcPr>
            <w:tcW w:w="1584" w:type="dxa"/>
          </w:tcPr>
          <w:p w14:paraId="5C027DF2" w14:textId="77777777" w:rsidR="005F7E58" w:rsidRPr="001E126B" w:rsidRDefault="005F7E58" w:rsidP="005F7E58">
            <w:pPr>
              <w:widowControl w:val="0"/>
              <w:rPr>
                <w:bCs/>
                <w:vanish/>
              </w:rPr>
            </w:pPr>
          </w:p>
        </w:tc>
      </w:tr>
      <w:tr w:rsidR="005F7E58" w:rsidRPr="002F7636" w14:paraId="1110B497" w14:textId="77777777" w:rsidTr="005F7E58">
        <w:trPr>
          <w:hidden/>
        </w:trPr>
        <w:tc>
          <w:tcPr>
            <w:tcW w:w="720" w:type="dxa"/>
          </w:tcPr>
          <w:p w14:paraId="1D8F4BA9" w14:textId="77777777" w:rsidR="005F7E58" w:rsidRDefault="005F7E58" w:rsidP="005F7E58">
            <w:pPr>
              <w:rPr>
                <w:vanish/>
              </w:rPr>
            </w:pPr>
          </w:p>
        </w:tc>
        <w:tc>
          <w:tcPr>
            <w:tcW w:w="7488" w:type="dxa"/>
          </w:tcPr>
          <w:p w14:paraId="1D56414D" w14:textId="77777777" w:rsidR="005F7E58" w:rsidRDefault="005F7E58" w:rsidP="005F7E58">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113F593" w14:textId="77777777" w:rsidR="005F7E58" w:rsidRPr="0030558B" w:rsidRDefault="005F7E58" w:rsidP="005F7E58">
            <w:pPr>
              <w:widowControl w:val="0"/>
              <w:rPr>
                <w:vanish/>
              </w:rPr>
            </w:pPr>
          </w:p>
        </w:tc>
        <w:tc>
          <w:tcPr>
            <w:tcW w:w="1584" w:type="dxa"/>
          </w:tcPr>
          <w:p w14:paraId="45C0D0A2" w14:textId="77777777" w:rsidR="005F7E58" w:rsidRPr="002F7636" w:rsidRDefault="005F7E58" w:rsidP="005F7E58">
            <w:pPr>
              <w:widowControl w:val="0"/>
              <w:jc w:val="right"/>
              <w:rPr>
                <w:bCs/>
                <w:vanish/>
              </w:rPr>
            </w:pPr>
          </w:p>
        </w:tc>
      </w:tr>
    </w:tbl>
    <w:p w14:paraId="48ECC13F" w14:textId="77777777" w:rsidR="005F7E58" w:rsidRDefault="005F7E58" w:rsidP="005F7E58">
      <w:pPr>
        <w:rPr>
          <w:vanish/>
        </w:rPr>
      </w:pPr>
      <w:r>
        <w:rPr>
          <w:vanish/>
        </w:rPr>
        <w:t>&lt;/LAYOUT_SECTION&gt;</w:t>
      </w:r>
    </w:p>
    <w:p w14:paraId="3DBE7729" w14:textId="77777777" w:rsidR="005F7E58" w:rsidRDefault="005F7E58" w:rsidP="005F7E58">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2F7636" w14:paraId="57846AED" w14:textId="77777777" w:rsidTr="005F7E58">
        <w:trPr>
          <w:hidden/>
        </w:trPr>
        <w:tc>
          <w:tcPr>
            <w:tcW w:w="720" w:type="dxa"/>
          </w:tcPr>
          <w:p w14:paraId="4EEE419A" w14:textId="77777777" w:rsidR="005F7E58" w:rsidRPr="006A5FCC" w:rsidRDefault="005F7E58" w:rsidP="005F7E58">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25578564" w14:textId="77777777" w:rsidR="005F7E58" w:rsidRDefault="005F7E58" w:rsidP="005F7E58">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29A51C01" w14:textId="77777777" w:rsidR="005F7E58" w:rsidRPr="00CE3DD7" w:rsidRDefault="005F7E58" w:rsidP="005F7E58">
            <w:pPr>
              <w:widowControl w:val="0"/>
              <w:rPr>
                <w:rFonts w:ascii="Arial Bold" w:hAnsi="Arial Bold"/>
                <w:b/>
                <w:vanish/>
              </w:rPr>
            </w:pPr>
          </w:p>
        </w:tc>
        <w:tc>
          <w:tcPr>
            <w:tcW w:w="1584" w:type="dxa"/>
          </w:tcPr>
          <w:p w14:paraId="3E302190" w14:textId="77777777" w:rsidR="005F7E58" w:rsidRPr="002F7636" w:rsidRDefault="005F7E58" w:rsidP="005F7E58">
            <w:pPr>
              <w:widowControl w:val="0"/>
              <w:rPr>
                <w:bCs/>
                <w:vanish/>
              </w:rPr>
            </w:pPr>
          </w:p>
        </w:tc>
      </w:tr>
    </w:tbl>
    <w:p w14:paraId="0E06E93B" w14:textId="77777777" w:rsidR="005F7E58" w:rsidRDefault="005F7E58" w:rsidP="005F7E58">
      <w:pPr>
        <w:tabs>
          <w:tab w:val="right" w:pos="9072"/>
          <w:tab w:val="right" w:pos="9356"/>
        </w:tabs>
        <w:ind w:left="709" w:hanging="709"/>
        <w:rPr>
          <w:vanish/>
        </w:rPr>
      </w:pPr>
      <w:r>
        <w:rPr>
          <w:vanish/>
        </w:rPr>
        <w:t>&lt;/TITLE_ONLY_LAYOUT_SECTION&gt;</w:t>
      </w:r>
    </w:p>
    <w:p w14:paraId="3A2E3BD3" w14:textId="77777777" w:rsidR="005F7E58" w:rsidRDefault="005F7E58">
      <w:pPr>
        <w:ind w:left="720" w:hanging="720"/>
        <w:rPr>
          <w:vanish/>
          <w:szCs w:val="22"/>
        </w:rPr>
      </w:pPr>
    </w:p>
    <w:p w14:paraId="1AB9DAC2" w14:textId="77777777" w:rsidR="005F7E58" w:rsidRDefault="005F7E58">
      <w:pPr>
        <w:ind w:left="720" w:hanging="720"/>
        <w:rPr>
          <w:vanish/>
          <w:szCs w:val="22"/>
        </w:rPr>
      </w:pPr>
      <w:r>
        <w:rPr>
          <w:vanish/>
          <w:szCs w:val="22"/>
        </w:rPr>
        <w:t>&lt;HEADING_LAYOUT_SECTION&gt;</w:t>
      </w:r>
    </w:p>
    <w:p w14:paraId="6709F46E" w14:textId="77777777" w:rsidR="005F7E58" w:rsidRPr="00CE3DD7" w:rsidRDefault="005F7E58" w:rsidP="005F7E58">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03F30365" w14:textId="77777777" w:rsidR="005F7E58" w:rsidRDefault="005F7E58">
      <w:pPr>
        <w:ind w:left="720" w:hanging="720"/>
        <w:rPr>
          <w:vanish/>
          <w:szCs w:val="22"/>
        </w:rPr>
      </w:pPr>
    </w:p>
    <w:p w14:paraId="1CD5EE98" w14:textId="77777777" w:rsidR="005F7E58" w:rsidRDefault="005F7E58">
      <w:pPr>
        <w:ind w:left="720" w:hanging="720"/>
        <w:rPr>
          <w:vanish/>
          <w:szCs w:val="22"/>
        </w:rPr>
      </w:pPr>
      <w:r>
        <w:rPr>
          <w:vanish/>
          <w:szCs w:val="22"/>
        </w:rPr>
        <w:t>&lt;/HEADING_LAYOUT_SECTION&gt;</w:t>
      </w:r>
    </w:p>
    <w:p w14:paraId="562EF9D6" w14:textId="77777777" w:rsidR="005F7E58" w:rsidRDefault="005F7E58">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1E126B" w14:paraId="6B4B6474" w14:textId="77777777" w:rsidTr="005F7E58">
        <w:trPr>
          <w:hidden/>
        </w:trPr>
        <w:tc>
          <w:tcPr>
            <w:tcW w:w="720" w:type="dxa"/>
          </w:tcPr>
          <w:p w14:paraId="63335E8E" w14:textId="77777777" w:rsidR="005F7E58" w:rsidRPr="006A5FCC" w:rsidRDefault="005F7E58" w:rsidP="005F7E58">
            <w:pPr>
              <w:rPr>
                <w:vanish/>
                <w:szCs w:val="22"/>
              </w:rPr>
            </w:pPr>
          </w:p>
        </w:tc>
        <w:tc>
          <w:tcPr>
            <w:tcW w:w="7488" w:type="dxa"/>
          </w:tcPr>
          <w:p w14:paraId="44BF694B" w14:textId="77777777" w:rsidR="005F7E58" w:rsidRPr="00CE3DD7" w:rsidRDefault="005F7E58" w:rsidP="005F7E58">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7E3737D0" w14:textId="77777777" w:rsidR="005F7E58" w:rsidRPr="00CE3DD7" w:rsidRDefault="005F7E58" w:rsidP="005F7E58">
            <w:pPr>
              <w:widowControl w:val="0"/>
              <w:rPr>
                <w:rFonts w:ascii="Arial Bold" w:hAnsi="Arial Bold"/>
                <w:b/>
                <w:vanish/>
              </w:rPr>
            </w:pPr>
          </w:p>
        </w:tc>
        <w:tc>
          <w:tcPr>
            <w:tcW w:w="1584" w:type="dxa"/>
          </w:tcPr>
          <w:p w14:paraId="2765110A" w14:textId="77777777" w:rsidR="005F7E58" w:rsidRPr="001E126B" w:rsidRDefault="005F7E58" w:rsidP="005F7E58">
            <w:pPr>
              <w:widowControl w:val="0"/>
              <w:rPr>
                <w:bCs/>
                <w:vanish/>
              </w:rPr>
            </w:pPr>
          </w:p>
        </w:tc>
      </w:tr>
      <w:tr w:rsidR="005F7E58" w:rsidRPr="002F7636" w14:paraId="62F1673D" w14:textId="77777777" w:rsidTr="005F7E58">
        <w:trPr>
          <w:hidden/>
        </w:trPr>
        <w:tc>
          <w:tcPr>
            <w:tcW w:w="720" w:type="dxa"/>
          </w:tcPr>
          <w:p w14:paraId="46599C58" w14:textId="77777777" w:rsidR="005F7E58" w:rsidRDefault="005F7E58" w:rsidP="005F7E58">
            <w:pPr>
              <w:rPr>
                <w:vanish/>
              </w:rPr>
            </w:pPr>
          </w:p>
        </w:tc>
        <w:tc>
          <w:tcPr>
            <w:tcW w:w="7488" w:type="dxa"/>
          </w:tcPr>
          <w:p w14:paraId="76CFAC83" w14:textId="77777777" w:rsidR="005F7E58" w:rsidRDefault="005F7E58" w:rsidP="005F7E58">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81A27E9" w14:textId="77777777" w:rsidR="005F7E58" w:rsidRPr="0030558B" w:rsidRDefault="005F7E58" w:rsidP="005F7E58">
            <w:pPr>
              <w:widowControl w:val="0"/>
              <w:rPr>
                <w:vanish/>
              </w:rPr>
            </w:pPr>
          </w:p>
        </w:tc>
        <w:tc>
          <w:tcPr>
            <w:tcW w:w="1584" w:type="dxa"/>
          </w:tcPr>
          <w:p w14:paraId="3E79D51C" w14:textId="77777777" w:rsidR="005F7E58" w:rsidRPr="002F7636" w:rsidRDefault="005F7E58" w:rsidP="005F7E58">
            <w:pPr>
              <w:widowControl w:val="0"/>
              <w:jc w:val="right"/>
              <w:rPr>
                <w:bCs/>
                <w:vanish/>
              </w:rPr>
            </w:pPr>
          </w:p>
        </w:tc>
      </w:tr>
    </w:tbl>
    <w:p w14:paraId="621287B8" w14:textId="77777777" w:rsidR="005F7E58" w:rsidRDefault="005F7E58">
      <w:pPr>
        <w:ind w:left="720" w:hanging="720"/>
        <w:rPr>
          <w:vanish/>
          <w:szCs w:val="22"/>
        </w:rPr>
      </w:pPr>
      <w:r>
        <w:rPr>
          <w:vanish/>
          <w:szCs w:val="22"/>
        </w:rPr>
        <w:t>&lt;/TITLED_COMMENT_LAYOUT_SECTION&gt;</w:t>
      </w:r>
    </w:p>
    <w:p w14:paraId="7BED81A5" w14:textId="77777777" w:rsidR="005F7E58" w:rsidRDefault="005F7E58">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5F7E58" w:rsidRPr="002F7636" w14:paraId="647D1884" w14:textId="77777777" w:rsidTr="005F7E58">
        <w:trPr>
          <w:hidden/>
        </w:trPr>
        <w:tc>
          <w:tcPr>
            <w:tcW w:w="720" w:type="dxa"/>
          </w:tcPr>
          <w:p w14:paraId="6193950B" w14:textId="77777777" w:rsidR="005F7E58" w:rsidRDefault="005F7E58" w:rsidP="005F7E58">
            <w:pPr>
              <w:rPr>
                <w:vanish/>
              </w:rPr>
            </w:pPr>
          </w:p>
        </w:tc>
        <w:tc>
          <w:tcPr>
            <w:tcW w:w="7488" w:type="dxa"/>
          </w:tcPr>
          <w:p w14:paraId="75C9BBCE" w14:textId="77777777" w:rsidR="005F7E58" w:rsidRDefault="005F7E58" w:rsidP="005F7E58">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5736D4DB" w14:textId="77777777" w:rsidR="005F7E58" w:rsidRPr="00C4216B" w:rsidRDefault="005F7E58" w:rsidP="005F7E58">
            <w:pPr>
              <w:widowControl w:val="0"/>
              <w:rPr>
                <w:b/>
                <w:vanish/>
              </w:rPr>
            </w:pPr>
          </w:p>
        </w:tc>
        <w:tc>
          <w:tcPr>
            <w:tcW w:w="1584" w:type="dxa"/>
          </w:tcPr>
          <w:p w14:paraId="6D90BBAF" w14:textId="77777777" w:rsidR="005F7E58" w:rsidRPr="002F7636" w:rsidRDefault="005F7E58" w:rsidP="005F7E58">
            <w:pPr>
              <w:widowControl w:val="0"/>
              <w:rPr>
                <w:bCs/>
                <w:vanish/>
              </w:rPr>
            </w:pPr>
          </w:p>
        </w:tc>
      </w:tr>
    </w:tbl>
    <w:p w14:paraId="2E22682E" w14:textId="77777777" w:rsidR="005F7E58" w:rsidRDefault="005F7E58">
      <w:pPr>
        <w:ind w:left="720" w:hanging="720"/>
        <w:rPr>
          <w:vanish/>
          <w:szCs w:val="22"/>
        </w:rPr>
      </w:pPr>
      <w:r>
        <w:rPr>
          <w:vanish/>
          <w:szCs w:val="22"/>
        </w:rPr>
        <w:t>&lt;/COMMENT_LAYOUT_SECTION&gt;</w:t>
      </w:r>
    </w:p>
    <w:p w14:paraId="79037996" w14:textId="77777777" w:rsidR="005F7E58" w:rsidRDefault="005F7E58">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5F7E58" w:rsidRPr="008D7C17" w14:paraId="1B0CC1DE" w14:textId="77777777" w:rsidTr="005F7E58">
        <w:trPr>
          <w:hidden/>
        </w:trPr>
        <w:tc>
          <w:tcPr>
            <w:tcW w:w="7470" w:type="dxa"/>
            <w:gridSpan w:val="2"/>
          </w:tcPr>
          <w:p w14:paraId="155C5745" w14:textId="77777777" w:rsidR="005F7E58" w:rsidRDefault="005F7E58" w:rsidP="005F7E58">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128CBB93" w14:textId="77777777" w:rsidR="005F7E58" w:rsidRPr="00E1671A" w:rsidRDefault="005F7E58" w:rsidP="005F7E58">
            <w:pPr>
              <w:rPr>
                <w:vanish/>
              </w:rPr>
            </w:pPr>
          </w:p>
        </w:tc>
        <w:tc>
          <w:tcPr>
            <w:tcW w:w="1620" w:type="dxa"/>
          </w:tcPr>
          <w:p w14:paraId="3C04B126" w14:textId="77777777" w:rsidR="005F7E58" w:rsidRPr="008D7C17" w:rsidRDefault="005F7E58" w:rsidP="005F7E58">
            <w:pPr>
              <w:widowControl w:val="0"/>
              <w:rPr>
                <w:bCs/>
                <w:i/>
                <w:vanish/>
              </w:rPr>
            </w:pPr>
          </w:p>
        </w:tc>
      </w:tr>
      <w:tr w:rsidR="005F7E58" w:rsidRPr="002F7636" w14:paraId="03103E34" w14:textId="77777777" w:rsidTr="005F7E58">
        <w:trPr>
          <w:hidden/>
        </w:trPr>
        <w:tc>
          <w:tcPr>
            <w:tcW w:w="810" w:type="dxa"/>
          </w:tcPr>
          <w:p w14:paraId="53762AED" w14:textId="77777777" w:rsidR="005F7E58" w:rsidRDefault="005F7E58" w:rsidP="005F7E58">
            <w:pPr>
              <w:rPr>
                <w:vanish/>
              </w:rPr>
            </w:pPr>
          </w:p>
        </w:tc>
        <w:tc>
          <w:tcPr>
            <w:tcW w:w="6660" w:type="dxa"/>
          </w:tcPr>
          <w:p w14:paraId="7759B8A9" w14:textId="77777777" w:rsidR="005F7E58" w:rsidRDefault="005F7E58" w:rsidP="005F7E58">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480E212E" w14:textId="77777777" w:rsidR="005F7E58" w:rsidRPr="007C26BB" w:rsidRDefault="005F7E58" w:rsidP="005F7E58">
            <w:pPr>
              <w:widowControl w:val="0"/>
              <w:rPr>
                <w:b/>
                <w:bCs/>
                <w:vanish/>
              </w:rPr>
            </w:pPr>
          </w:p>
        </w:tc>
        <w:tc>
          <w:tcPr>
            <w:tcW w:w="1620" w:type="dxa"/>
          </w:tcPr>
          <w:p w14:paraId="611BD03A" w14:textId="77777777" w:rsidR="005F7E58" w:rsidRPr="002F7636" w:rsidRDefault="005F7E58" w:rsidP="005F7E58">
            <w:pPr>
              <w:widowControl w:val="0"/>
              <w:jc w:val="right"/>
              <w:rPr>
                <w:bCs/>
                <w:vanish/>
              </w:rPr>
            </w:pPr>
          </w:p>
        </w:tc>
      </w:tr>
    </w:tbl>
    <w:p w14:paraId="212F1168" w14:textId="77777777" w:rsidR="005F7E58" w:rsidRDefault="005F7E58">
      <w:pPr>
        <w:rPr>
          <w:vanish/>
          <w:szCs w:val="22"/>
        </w:rPr>
      </w:pPr>
      <w:r>
        <w:rPr>
          <w:vanish/>
          <w:szCs w:val="22"/>
        </w:rPr>
        <w:t>&lt;/SUBNUMBER_LAYOUT_SECTION&gt;</w:t>
      </w:r>
    </w:p>
    <w:p w14:paraId="25BB8552" w14:textId="77777777" w:rsidR="005F7E58" w:rsidRDefault="005F7E58">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5F7E58" w:rsidRPr="008D7C17" w14:paraId="1D01B000" w14:textId="77777777" w:rsidTr="005F7E58">
        <w:trPr>
          <w:cantSplit/>
          <w:hidden/>
        </w:trPr>
        <w:tc>
          <w:tcPr>
            <w:tcW w:w="7470" w:type="dxa"/>
          </w:tcPr>
          <w:p w14:paraId="25F670A9" w14:textId="77777777" w:rsidR="005F7E58" w:rsidRDefault="005F7E58" w:rsidP="005F7E58">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A4CBD03" w14:textId="77777777" w:rsidR="005F7E58" w:rsidRPr="00E1671A" w:rsidRDefault="005F7E58" w:rsidP="005F7E58">
            <w:pPr>
              <w:rPr>
                <w:vanish/>
              </w:rPr>
            </w:pPr>
          </w:p>
        </w:tc>
        <w:tc>
          <w:tcPr>
            <w:tcW w:w="1620" w:type="dxa"/>
          </w:tcPr>
          <w:p w14:paraId="6CFC1014" w14:textId="77777777" w:rsidR="005F7E58" w:rsidRPr="008D7C17" w:rsidRDefault="005F7E58" w:rsidP="005F7E58">
            <w:pPr>
              <w:widowControl w:val="0"/>
              <w:rPr>
                <w:bCs/>
                <w:i/>
                <w:vanish/>
              </w:rPr>
            </w:pPr>
          </w:p>
        </w:tc>
      </w:tr>
    </w:tbl>
    <w:p w14:paraId="64C9B6A8" w14:textId="77777777" w:rsidR="005F7E58" w:rsidRDefault="005F7E58">
      <w:pPr>
        <w:rPr>
          <w:vanish/>
        </w:rPr>
      </w:pPr>
      <w:r>
        <w:rPr>
          <w:vanish/>
        </w:rPr>
        <w:t>&lt;/TITLE_ONLY_SUBNUMBER_LAYOUT_SECTION&gt;</w:t>
      </w:r>
    </w:p>
    <w:sectPr w:rsidR="005F7E58" w:rsidSect="005F7E58">
      <w:headerReference w:type="even" r:id="rId9"/>
      <w:headerReference w:type="default" r:id="rId10"/>
      <w:footerReference w:type="even" r:id="rId11"/>
      <w:footerReference w:type="default" r:id="rId12"/>
      <w:headerReference w:type="first" r:id="rId13"/>
      <w:footerReference w:type="first" r:id="rId14"/>
      <w:pgSz w:w="11909" w:h="16838" w:code="9"/>
      <w:pgMar w:top="994" w:right="1138" w:bottom="994" w:left="2160" w:header="360" w:footer="706"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00E14" w16cid:durableId="1D0F7F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A77C" w14:textId="77777777" w:rsidR="00C57AEB" w:rsidRDefault="00C57AEB">
      <w:r>
        <w:separator/>
      </w:r>
    </w:p>
  </w:endnote>
  <w:endnote w:type="continuationSeparator" w:id="0">
    <w:p w14:paraId="7E031BC2" w14:textId="77777777" w:rsidR="00C57AEB" w:rsidRDefault="00C5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CD85" w14:textId="77777777" w:rsidR="005018BC" w:rsidRDefault="00501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73624" w14:textId="77777777" w:rsidR="005F7E58" w:rsidRDefault="00A526B1" w:rsidP="005F7E58">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6266F396" wp14:editId="229BB69B">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4822B611" w14:textId="77777777" w:rsidR="005F7E58" w:rsidRDefault="005F7E58" w:rsidP="005F7E58">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AA16F3">
                            <w:rPr>
                              <w:rStyle w:val="PageNumber"/>
                              <w:b/>
                              <w:noProof/>
                              <w:color w:val="FFFFFF"/>
                            </w:rPr>
                            <w:t>2</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6F396"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" o:allowincell="f" fillcolor="black">
              <v:path arrowok="t"/>
              <o:lock v:ext="edit" aspectratio="t"/>
              <v:textbox inset=",10.08pt">
                <w:txbxContent>
                  <w:p w14:paraId="4822B611" w14:textId="77777777" w:rsidR="005F7E58" w:rsidRDefault="005F7E58" w:rsidP="005F7E58">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AA16F3">
                      <w:rPr>
                        <w:rStyle w:val="PageNumber"/>
                        <w:b/>
                        <w:noProof/>
                        <w:color w:val="FFFFFF"/>
                      </w:rPr>
                      <w:t>2</w:t>
                    </w:r>
                    <w:r>
                      <w:rPr>
                        <w:rStyle w:val="PageNumber"/>
                        <w:b/>
                        <w:color w:val="FFFFFF"/>
                      </w:rPr>
                      <w:fldChar w:fldCharType="end"/>
                    </w:r>
                  </w:p>
                </w:txbxContent>
              </v:textbox>
              <w10:wrap anchorx="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8A48E" w14:textId="77777777" w:rsidR="005F7E58" w:rsidRPr="00C728DE" w:rsidRDefault="005F7E58">
    <w:pPr>
      <w:rPr>
        <w:sz w:val="16"/>
        <w:szCs w:val="16"/>
      </w:rPr>
    </w:pPr>
  </w:p>
  <w:p w14:paraId="6CDD9DD2" w14:textId="77777777" w:rsidR="005F7E58" w:rsidRPr="00C728DE" w:rsidRDefault="005F7E58" w:rsidP="005F7E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D75E" w14:textId="77777777" w:rsidR="00C57AEB" w:rsidRDefault="00C57AEB">
      <w:r>
        <w:separator/>
      </w:r>
    </w:p>
  </w:footnote>
  <w:footnote w:type="continuationSeparator" w:id="0">
    <w:p w14:paraId="260029BE" w14:textId="77777777" w:rsidR="00C57AEB" w:rsidRDefault="00C5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848DF" w14:textId="77777777" w:rsidR="005018BC" w:rsidRDefault="00501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2C53A" w14:textId="77777777" w:rsidR="00AB3949" w:rsidRDefault="00AB3949"/>
  <w:p w14:paraId="0BD5158B" w14:textId="77777777" w:rsidR="00AB3949" w:rsidRDefault="00AB3949"/>
  <w:tbl>
    <w:tblPr>
      <w:tblW w:w="0" w:type="auto"/>
      <w:tblLook w:val="01E0" w:firstRow="1" w:lastRow="1" w:firstColumn="1" w:lastColumn="1" w:noHBand="0" w:noVBand="0"/>
    </w:tblPr>
    <w:tblGrid>
      <w:gridCol w:w="5387"/>
      <w:gridCol w:w="3224"/>
    </w:tblGrid>
    <w:tr w:rsidR="00AB3949" w:rsidRPr="004F266E" w14:paraId="63D92DEA" w14:textId="77777777" w:rsidTr="005018BC">
      <w:tc>
        <w:tcPr>
          <w:tcW w:w="5387" w:type="dxa"/>
          <w:vMerge w:val="restart"/>
          <w:shd w:val="clear" w:color="auto" w:fill="auto"/>
        </w:tcPr>
        <w:p w14:paraId="08A83650" w14:textId="77777777" w:rsidR="00AB3949" w:rsidRPr="00374227" w:rsidRDefault="00A526B1" w:rsidP="00AB3949">
          <w:pPr>
            <w:pStyle w:val="Header"/>
            <w:tabs>
              <w:tab w:val="clear" w:pos="4153"/>
              <w:tab w:val="clear" w:pos="8306"/>
              <w:tab w:val="center" w:pos="2923"/>
            </w:tabs>
          </w:pPr>
          <w:bookmarkStart w:id="0" w:name="_GoBack" w:colFirst="0" w:colLast="2"/>
          <w:r w:rsidRPr="00AB3949">
            <w:rPr>
              <w:rFonts w:cs="Arial"/>
              <w:noProof/>
              <w:sz w:val="44"/>
              <w:szCs w:val="44"/>
            </w:rPr>
            <w:drawing>
              <wp:inline distT="0" distB="0" distL="0" distR="0" wp14:anchorId="42321EBA" wp14:editId="17D1B059">
                <wp:extent cx="1430020" cy="847725"/>
                <wp:effectExtent l="0" t="0" r="0" b="0"/>
                <wp:docPr id="1" name="Picture 5" descr="LG_Association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847725"/>
                        </a:xfrm>
                        <a:prstGeom prst="rect">
                          <a:avLst/>
                        </a:prstGeom>
                        <a:noFill/>
                        <a:ln>
                          <a:noFill/>
                        </a:ln>
                      </pic:spPr>
                    </pic:pic>
                  </a:graphicData>
                </a:graphic>
              </wp:inline>
            </w:drawing>
          </w:r>
        </w:p>
      </w:tc>
      <w:tc>
        <w:tcPr>
          <w:tcW w:w="3224" w:type="dxa"/>
          <w:shd w:val="clear" w:color="auto" w:fill="auto"/>
          <w:vAlign w:val="center"/>
        </w:tcPr>
        <w:p w14:paraId="3838531C" w14:textId="77777777" w:rsidR="00AB3949" w:rsidRPr="00374227" w:rsidRDefault="00AB3949" w:rsidP="00AB3949">
          <w:pPr>
            <w:pStyle w:val="Header"/>
            <w:rPr>
              <w:rFonts w:cs="Arial"/>
              <w:b/>
              <w:szCs w:val="22"/>
            </w:rPr>
          </w:pPr>
          <w:r>
            <w:rPr>
              <w:rFonts w:cs="Arial"/>
              <w:b/>
              <w:szCs w:val="22"/>
            </w:rPr>
            <w:t>LGA Leadership Board</w:t>
          </w:r>
        </w:p>
      </w:tc>
    </w:tr>
    <w:tr w:rsidR="00AB3949" w14:paraId="487944DF" w14:textId="77777777" w:rsidTr="005018BC">
      <w:trPr>
        <w:trHeight w:val="450"/>
      </w:trPr>
      <w:tc>
        <w:tcPr>
          <w:tcW w:w="5387" w:type="dxa"/>
          <w:vMerge/>
          <w:shd w:val="clear" w:color="auto" w:fill="auto"/>
        </w:tcPr>
        <w:p w14:paraId="1DC3548F" w14:textId="77777777" w:rsidR="00AB3949" w:rsidRPr="00374227" w:rsidRDefault="00AB3949" w:rsidP="00AB3949">
          <w:pPr>
            <w:pStyle w:val="Header"/>
          </w:pPr>
        </w:p>
      </w:tc>
      <w:tc>
        <w:tcPr>
          <w:tcW w:w="3224" w:type="dxa"/>
          <w:shd w:val="clear" w:color="auto" w:fill="auto"/>
          <w:vAlign w:val="center"/>
        </w:tcPr>
        <w:p w14:paraId="698FB0A9" w14:textId="77777777" w:rsidR="00AB3949" w:rsidRPr="00374227" w:rsidRDefault="00AB3949" w:rsidP="00AB3949">
          <w:pPr>
            <w:pStyle w:val="Header"/>
            <w:spacing w:before="60"/>
            <w:rPr>
              <w:rFonts w:cs="Arial"/>
              <w:szCs w:val="22"/>
            </w:rPr>
          </w:pPr>
          <w:r>
            <w:rPr>
              <w:rFonts w:cs="Arial"/>
              <w:szCs w:val="22"/>
            </w:rPr>
            <w:t>19 July 2017</w:t>
          </w:r>
        </w:p>
      </w:tc>
    </w:tr>
    <w:tr w:rsidR="00AB3949" w:rsidRPr="004F266E" w14:paraId="18876930" w14:textId="77777777" w:rsidTr="005018BC">
      <w:trPr>
        <w:trHeight w:val="708"/>
      </w:trPr>
      <w:tc>
        <w:tcPr>
          <w:tcW w:w="5387" w:type="dxa"/>
          <w:vMerge/>
          <w:shd w:val="clear" w:color="auto" w:fill="auto"/>
        </w:tcPr>
        <w:p w14:paraId="6F53F40E" w14:textId="77777777" w:rsidR="00AB3949" w:rsidRPr="00374227" w:rsidRDefault="00AB3949" w:rsidP="00AB3949">
          <w:pPr>
            <w:pStyle w:val="Header"/>
          </w:pPr>
        </w:p>
      </w:tc>
      <w:tc>
        <w:tcPr>
          <w:tcW w:w="3224" w:type="dxa"/>
          <w:shd w:val="clear" w:color="auto" w:fill="auto"/>
          <w:vAlign w:val="center"/>
        </w:tcPr>
        <w:p w14:paraId="02C69D26" w14:textId="77777777" w:rsidR="00AB3949" w:rsidRPr="00374227" w:rsidRDefault="00AB3949" w:rsidP="00AB3949">
          <w:pPr>
            <w:pStyle w:val="Header"/>
            <w:spacing w:before="60"/>
            <w:rPr>
              <w:rFonts w:cs="Arial"/>
              <w:b/>
              <w:szCs w:val="22"/>
            </w:rPr>
          </w:pPr>
        </w:p>
      </w:tc>
    </w:tr>
    <w:bookmarkEnd w:id="0"/>
  </w:tbl>
  <w:p w14:paraId="1DDB1AA1" w14:textId="77777777" w:rsidR="005F7E58" w:rsidRDefault="005F7E58" w:rsidP="005F7E58">
    <w:pPr>
      <w:pStyle w:val="Header"/>
      <w:tabs>
        <w:tab w:val="clear" w:pos="4153"/>
        <w:tab w:val="left" w:pos="5670"/>
      </w:tabs>
      <w:rPr>
        <w:rFonts w:cs="Arial"/>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0F19" w14:textId="77777777" w:rsidR="00AB3949" w:rsidRDefault="00AB3949"/>
  <w:p w14:paraId="5724FC2F" w14:textId="77777777" w:rsidR="00AB3949" w:rsidRDefault="00AB3949"/>
  <w:tbl>
    <w:tblPr>
      <w:tblW w:w="0" w:type="auto"/>
      <w:tblLook w:val="01E0" w:firstRow="1" w:lastRow="1" w:firstColumn="1" w:lastColumn="1" w:noHBand="0" w:noVBand="0"/>
    </w:tblPr>
    <w:tblGrid>
      <w:gridCol w:w="5103"/>
      <w:gridCol w:w="3508"/>
    </w:tblGrid>
    <w:tr w:rsidR="00AB3949" w:rsidRPr="004F266E" w14:paraId="2A210CA1" w14:textId="77777777" w:rsidTr="005018BC">
      <w:tc>
        <w:tcPr>
          <w:tcW w:w="5103" w:type="dxa"/>
          <w:vMerge w:val="restart"/>
          <w:shd w:val="clear" w:color="auto" w:fill="auto"/>
        </w:tcPr>
        <w:p w14:paraId="40EB8991" w14:textId="77777777" w:rsidR="00AB3949" w:rsidRPr="00374227" w:rsidRDefault="00A526B1" w:rsidP="00AB3949">
          <w:pPr>
            <w:pStyle w:val="Header"/>
            <w:tabs>
              <w:tab w:val="clear" w:pos="4153"/>
              <w:tab w:val="clear" w:pos="8306"/>
              <w:tab w:val="center" w:pos="2923"/>
            </w:tabs>
          </w:pPr>
          <w:r w:rsidRPr="00AB3949">
            <w:rPr>
              <w:rFonts w:cs="Arial"/>
              <w:noProof/>
              <w:sz w:val="44"/>
              <w:szCs w:val="44"/>
            </w:rPr>
            <w:drawing>
              <wp:inline distT="0" distB="0" distL="0" distR="0" wp14:anchorId="4AB92E7A" wp14:editId="3D38D3D0">
                <wp:extent cx="1430020" cy="847725"/>
                <wp:effectExtent l="0" t="0" r="0" b="0"/>
                <wp:docPr id="2" name="Picture 5" descr="LG_Association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847725"/>
                        </a:xfrm>
                        <a:prstGeom prst="rect">
                          <a:avLst/>
                        </a:prstGeom>
                        <a:noFill/>
                        <a:ln>
                          <a:noFill/>
                        </a:ln>
                      </pic:spPr>
                    </pic:pic>
                  </a:graphicData>
                </a:graphic>
              </wp:inline>
            </w:drawing>
          </w:r>
        </w:p>
      </w:tc>
      <w:tc>
        <w:tcPr>
          <w:tcW w:w="3508" w:type="dxa"/>
          <w:shd w:val="clear" w:color="auto" w:fill="auto"/>
          <w:vAlign w:val="center"/>
        </w:tcPr>
        <w:p w14:paraId="27094822" w14:textId="77777777" w:rsidR="00AB3949" w:rsidRPr="00374227" w:rsidRDefault="00AB3949" w:rsidP="00AB3949">
          <w:pPr>
            <w:pStyle w:val="Header"/>
            <w:rPr>
              <w:rFonts w:cs="Arial"/>
              <w:b/>
              <w:szCs w:val="22"/>
            </w:rPr>
          </w:pPr>
          <w:r>
            <w:rPr>
              <w:rFonts w:cs="Arial"/>
              <w:b/>
              <w:szCs w:val="22"/>
            </w:rPr>
            <w:t>LGA Leadership Board</w:t>
          </w:r>
        </w:p>
      </w:tc>
    </w:tr>
    <w:tr w:rsidR="00AB3949" w14:paraId="12B751DC" w14:textId="77777777" w:rsidTr="005018BC">
      <w:trPr>
        <w:trHeight w:val="450"/>
      </w:trPr>
      <w:tc>
        <w:tcPr>
          <w:tcW w:w="5103" w:type="dxa"/>
          <w:vMerge/>
          <w:shd w:val="clear" w:color="auto" w:fill="auto"/>
        </w:tcPr>
        <w:p w14:paraId="50EE52E1" w14:textId="77777777" w:rsidR="00AB3949" w:rsidRPr="00374227" w:rsidRDefault="00AB3949" w:rsidP="00AB3949">
          <w:pPr>
            <w:pStyle w:val="Header"/>
          </w:pPr>
        </w:p>
      </w:tc>
      <w:tc>
        <w:tcPr>
          <w:tcW w:w="3508" w:type="dxa"/>
          <w:shd w:val="clear" w:color="auto" w:fill="auto"/>
          <w:vAlign w:val="center"/>
        </w:tcPr>
        <w:p w14:paraId="61EE6C22" w14:textId="77777777" w:rsidR="00AB3949" w:rsidRPr="00374227" w:rsidRDefault="00AB3949" w:rsidP="00AB3949">
          <w:pPr>
            <w:pStyle w:val="Header"/>
            <w:spacing w:before="60"/>
            <w:rPr>
              <w:rFonts w:cs="Arial"/>
              <w:szCs w:val="22"/>
            </w:rPr>
          </w:pPr>
          <w:r>
            <w:rPr>
              <w:rFonts w:cs="Arial"/>
              <w:szCs w:val="22"/>
            </w:rPr>
            <w:t>19 July 2017</w:t>
          </w:r>
        </w:p>
      </w:tc>
    </w:tr>
    <w:tr w:rsidR="00AB3949" w:rsidRPr="004F266E" w14:paraId="501F8B13" w14:textId="77777777" w:rsidTr="005018BC">
      <w:trPr>
        <w:trHeight w:val="708"/>
      </w:trPr>
      <w:tc>
        <w:tcPr>
          <w:tcW w:w="5103" w:type="dxa"/>
          <w:vMerge/>
          <w:shd w:val="clear" w:color="auto" w:fill="auto"/>
        </w:tcPr>
        <w:p w14:paraId="1DCC21EA" w14:textId="77777777" w:rsidR="00AB3949" w:rsidRPr="00374227" w:rsidRDefault="00AB3949" w:rsidP="00AB3949">
          <w:pPr>
            <w:pStyle w:val="Header"/>
          </w:pPr>
        </w:p>
      </w:tc>
      <w:tc>
        <w:tcPr>
          <w:tcW w:w="3508" w:type="dxa"/>
          <w:shd w:val="clear" w:color="auto" w:fill="auto"/>
          <w:vAlign w:val="center"/>
        </w:tcPr>
        <w:p w14:paraId="3B3DE24E" w14:textId="77777777" w:rsidR="00AB3949" w:rsidRPr="00374227" w:rsidRDefault="00AB3949" w:rsidP="00AB3949">
          <w:pPr>
            <w:pStyle w:val="Header"/>
            <w:spacing w:before="60"/>
            <w:rPr>
              <w:rFonts w:cs="Arial"/>
              <w:b/>
              <w:szCs w:val="22"/>
            </w:rPr>
          </w:pPr>
        </w:p>
      </w:tc>
    </w:tr>
  </w:tbl>
  <w:p w14:paraId="65272F57" w14:textId="77777777" w:rsidR="005F7E58" w:rsidRDefault="005F7E58" w:rsidP="005F7E58">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BE6093D"/>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BE6093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BE6093F"/>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BE60940"/>
    <w:multiLevelType w:val="multilevel"/>
    <w:tmpl w:val="10C22308"/>
    <w:lvl w:ilvl="0">
      <w:start w:val="3"/>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BE60941"/>
    <w:multiLevelType w:val="multilevel"/>
    <w:tmpl w:val="10C22308"/>
    <w:lvl w:ilvl="0">
      <w:start w:val="3"/>
      <w:numFmt w:val="decimal"/>
      <w:lvlText w:val="%1"/>
      <w:lvlJc w:val="left"/>
      <w:pPr>
        <w:tabs>
          <w:tab w:val="num" w:pos="0"/>
        </w:tabs>
        <w:ind w:left="0" w:firstLine="0"/>
      </w:pPr>
      <w:rPr>
        <w:rFonts w:ascii="Arial" w:hAnsi="Arial" w:hint="default"/>
        <w:b w:val="0"/>
        <w:i w:val="0"/>
        <w:sz w:val="20"/>
        <w:szCs w:val="20"/>
      </w:rPr>
    </w:lvl>
    <w:lvl w:ilvl="1">
      <w:start w:val="2"/>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E60942"/>
    <w:multiLevelType w:val="multilevel"/>
    <w:tmpl w:val="10C22308"/>
    <w:lvl w:ilvl="0">
      <w:start w:val="3"/>
      <w:numFmt w:val="decimal"/>
      <w:lvlText w:val="%1"/>
      <w:lvlJc w:val="left"/>
      <w:pPr>
        <w:tabs>
          <w:tab w:val="num" w:pos="0"/>
        </w:tabs>
        <w:ind w:left="0" w:firstLine="0"/>
      </w:pPr>
      <w:rPr>
        <w:rFonts w:ascii="Arial" w:hAnsi="Arial" w:hint="default"/>
        <w:b w:val="0"/>
        <w:i w:val="0"/>
        <w:sz w:val="20"/>
        <w:szCs w:val="20"/>
      </w:rPr>
    </w:lvl>
    <w:lvl w:ilvl="1">
      <w:start w:val="3"/>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BE60943"/>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BE60949"/>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BE6094B"/>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BE6094C"/>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BE6094D"/>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100114"/>
    <w:rsid w:val="003354D6"/>
    <w:rsid w:val="005018BC"/>
    <w:rsid w:val="00527B0A"/>
    <w:rsid w:val="005807AD"/>
    <w:rsid w:val="005F7E58"/>
    <w:rsid w:val="00696D35"/>
    <w:rsid w:val="007A0268"/>
    <w:rsid w:val="00846EE5"/>
    <w:rsid w:val="008B06F2"/>
    <w:rsid w:val="009818E2"/>
    <w:rsid w:val="00A526B1"/>
    <w:rsid w:val="00AA16F3"/>
    <w:rsid w:val="00AB3949"/>
    <w:rsid w:val="00AD69F8"/>
    <w:rsid w:val="00B47B55"/>
    <w:rsid w:val="00B77C41"/>
    <w:rsid w:val="00C57AEB"/>
    <w:rsid w:val="00D067D7"/>
    <w:rsid w:val="00DC2C9E"/>
    <w:rsid w:val="00EA4B82"/>
    <w:rsid w:val="00F0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72C621"/>
  <w15:chartTrackingRefBased/>
  <w15:docId w15:val="{FF8A4682-9C37-E143-B102-43164DD2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53"/>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BalloonText">
    <w:name w:val="Balloon Text"/>
    <w:basedOn w:val="Normal"/>
    <w:link w:val="BalloonTextChar"/>
    <w:rsid w:val="00C70982"/>
    <w:rPr>
      <w:rFonts w:ascii="Segoe UI" w:hAnsi="Segoe UI" w:cs="Segoe UI"/>
      <w:sz w:val="18"/>
      <w:szCs w:val="18"/>
    </w:rPr>
  </w:style>
  <w:style w:type="character" w:customStyle="1" w:styleId="BalloonTextChar">
    <w:name w:val="Balloon Text Char"/>
    <w:link w:val="BalloonText"/>
    <w:rsid w:val="00C70982"/>
    <w:rPr>
      <w:rFonts w:ascii="Segoe UI" w:hAnsi="Segoe UI" w:cs="Segoe UI"/>
      <w:sz w:val="18"/>
      <w:szCs w:val="18"/>
      <w:lang w:eastAsia="en-GB"/>
    </w:rPr>
  </w:style>
  <w:style w:type="character" w:styleId="CommentReference">
    <w:name w:val="annotation reference"/>
    <w:basedOn w:val="DefaultParagraphFont"/>
    <w:rsid w:val="00B77C41"/>
    <w:rPr>
      <w:sz w:val="16"/>
      <w:szCs w:val="16"/>
    </w:rPr>
  </w:style>
  <w:style w:type="paragraph" w:styleId="CommentText">
    <w:name w:val="annotation text"/>
    <w:basedOn w:val="Normal"/>
    <w:link w:val="CommentTextChar"/>
    <w:rsid w:val="00B77C41"/>
    <w:rPr>
      <w:sz w:val="20"/>
    </w:rPr>
  </w:style>
  <w:style w:type="character" w:customStyle="1" w:styleId="CommentTextChar">
    <w:name w:val="Comment Text Char"/>
    <w:basedOn w:val="DefaultParagraphFont"/>
    <w:link w:val="CommentText"/>
    <w:rsid w:val="00B77C41"/>
    <w:rPr>
      <w:rFonts w:ascii="Arial" w:hAnsi="Arial"/>
    </w:rPr>
  </w:style>
  <w:style w:type="paragraph" w:styleId="CommentSubject">
    <w:name w:val="annotation subject"/>
    <w:basedOn w:val="CommentText"/>
    <w:next w:val="CommentText"/>
    <w:link w:val="CommentSubjectChar"/>
    <w:rsid w:val="00B77C41"/>
    <w:rPr>
      <w:b/>
      <w:bCs/>
    </w:rPr>
  </w:style>
  <w:style w:type="character" w:customStyle="1" w:styleId="CommentSubjectChar">
    <w:name w:val="Comment Subject Char"/>
    <w:basedOn w:val="CommentTextChar"/>
    <w:link w:val="CommentSubject"/>
    <w:rsid w:val="00B77C4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30958706">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43668-294A-4D5E-9AA4-487A8D3AB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CD019-4053-4CAB-BB73-47224C6D6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45721E06.dotm</Template>
  <TotalTime>21</TotalTime>
  <Pages>1</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Frances Marshall</cp:lastModifiedBy>
  <cp:revision>5</cp:revision>
  <cp:lastPrinted>2017-06-21T14:38:00Z</cp:lastPrinted>
  <dcterms:created xsi:type="dcterms:W3CDTF">2017-07-12T08:41:00Z</dcterms:created>
  <dcterms:modified xsi:type="dcterms:W3CDTF">2017-07-12T15:04:00Z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Audit Committee</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Jess Norman</vt:lpwstr>
  </property>
  <property fmtid="{D5CDD505-2E9C-101B-9397-08002B2CF9AE}" pid="8" name="MeetingContact_2">
    <vt:lpwstr>0207 664 3221 / jessica.norman@local.gov.uk</vt:lpwstr>
  </property>
  <property fmtid="{D5CDD505-2E9C-101B-9397-08002B2CF9AE}" pid="9" name="MeetingDate">
    <vt:lpwstr>Wednesday, 14 June 2017</vt:lpwstr>
  </property>
  <property fmtid="{D5CDD505-2E9C-101B-9397-08002B2CF9AE}" pid="10" name="MeetingDateLegal">
    <vt:lpwstr>Wednesday, 14th June, 2017</vt:lpwstr>
  </property>
  <property fmtid="{D5CDD505-2E9C-101B-9397-08002B2CF9AE}" pid="11" name="MeetingLocation">
    <vt:lpwstr>Room D, Ground Floor, Layden House, 76-86 Turnmill Street, London, EC1M 5LG</vt:lpwstr>
  </property>
  <property fmtid="{D5CDD505-2E9C-101B-9397-08002B2CF9AE}" pid="12" name="MeetingTime">
    <vt:lpwstr>2.00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Monday, 20 November 2017</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Keyword/Tag">
    <vt:lpwstr/>
  </property>
  <property fmtid="{D5CDD505-2E9C-101B-9397-08002B2CF9AE}" pid="19" name="Document Type">
    <vt:lpwstr/>
  </property>
  <property fmtid="{D5CDD505-2E9C-101B-9397-08002B2CF9AE}" pid="20" name="Meeting date">
    <vt:lpwstr/>
  </property>
  <property fmtid="{D5CDD505-2E9C-101B-9397-08002B2CF9AE}" pid="21" name="TaxCatchAll">
    <vt:lpwstr/>
  </property>
  <property fmtid="{D5CDD505-2E9C-101B-9397-08002B2CF9AE}" pid="22" name="Work Area">
    <vt:lpwstr/>
  </property>
</Properties>
</file>